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9050C" w14:textId="77777777" w:rsidR="00BF1FEF" w:rsidRPr="00BF1FEF" w:rsidRDefault="00BF1FEF" w:rsidP="00BF1FEF">
      <w:pPr>
        <w:jc w:val="center"/>
      </w:pPr>
      <w:r w:rsidRPr="00BF1FEF">
        <w:rPr>
          <w:b/>
          <w:bCs/>
        </w:rPr>
        <w:t>End-of-Life Discussions and Advanced Care Planning</w:t>
      </w:r>
    </w:p>
    <w:p w14:paraId="1913A43C" w14:textId="77777777" w:rsidR="00BF1FEF" w:rsidRPr="00BF1FEF" w:rsidRDefault="00BF1FEF" w:rsidP="00BF1FEF">
      <w:r w:rsidRPr="00BF1FEF">
        <w:t>According to an article titled </w:t>
      </w:r>
      <w:hyperlink r:id="rId7" w:history="1">
        <w:r w:rsidRPr="00BF1FEF">
          <w:rPr>
            <w:rStyle w:val="Hyperlink"/>
          </w:rPr>
          <w:t>Advanced Care Planning and End-of-Life Communications: Practical Tips for Oncology Advanced Practitioners</w:t>
        </w:r>
      </w:hyperlink>
      <w:r w:rsidRPr="00BF1FEF">
        <w:t> published in the National Library of Medicine, National Center for Biotechnology Information states that many patients inappropriately receive aggressive treatment near the end of life, which leads to higher resource utilization, decreased quality of life, and increased cost. While Oncology is not necessarily the specialty most relevant to our members, end-of-life discussions are likely very similar.</w:t>
      </w:r>
    </w:p>
    <w:p w14:paraId="2190437A" w14:textId="77777777" w:rsidR="00BF1FEF" w:rsidRPr="00BF1FEF" w:rsidRDefault="00BF1FEF" w:rsidP="00BF1FEF">
      <w:r w:rsidRPr="00BF1FEF">
        <w:t>Advanced care planning (ACP) is defined as a patient-centered, voluntary, and ongoing process of communication among patients, family members, caregivers, and health-care professionals to understand, review, and plan for future health-care decisions. While ACP is not focused on the selection of surrogate decision makers, medical power of attorney, living wills and cardiopulmonary resuscitation, they are included. In addition, ACP should include patient choices such as where they would like to die, use of palliative care and hospice, and reducing decisional conflict on surrogate decision makers.</w:t>
      </w:r>
    </w:p>
    <w:p w14:paraId="36796335" w14:textId="77777777" w:rsidR="00BF1FEF" w:rsidRPr="00BF1FEF" w:rsidRDefault="00BF1FEF" w:rsidP="00BF1FEF">
      <w:r w:rsidRPr="00BF1FEF">
        <w:t>A </w:t>
      </w:r>
      <w:hyperlink r:id="rId8" w:history="1">
        <w:r w:rsidRPr="00BF1FEF">
          <w:rPr>
            <w:rStyle w:val="Hyperlink"/>
          </w:rPr>
          <w:t>table</w:t>
        </w:r>
      </w:hyperlink>
      <w:r w:rsidRPr="00BF1FEF">
        <w:t> in the article includes several resources for patients to assist with ACP decisions, including:</w:t>
      </w:r>
    </w:p>
    <w:p w14:paraId="69DFB175" w14:textId="77777777" w:rsidR="00BF1FEF" w:rsidRPr="00BF1FEF" w:rsidRDefault="00BF1FEF" w:rsidP="00BF1FEF">
      <w:pPr>
        <w:numPr>
          <w:ilvl w:val="0"/>
          <w:numId w:val="1"/>
        </w:numPr>
      </w:pPr>
      <w:r w:rsidRPr="00BF1FEF">
        <w:t>Prepare – An </w:t>
      </w:r>
      <w:hyperlink r:id="rId9" w:history="1">
        <w:r w:rsidRPr="00BF1FEF">
          <w:rPr>
            <w:rStyle w:val="Hyperlink"/>
          </w:rPr>
          <w:t>ACP website</w:t>
        </w:r>
      </w:hyperlink>
      <w:r w:rsidRPr="00BF1FEF">
        <w:t> with videos that focus on preparing patients for communication and decision making. This website creates a tailored summary of patients’ values and preferences that can be used to initiate the conversation with the clinician.</w:t>
      </w:r>
    </w:p>
    <w:p w14:paraId="45A7C11A" w14:textId="77777777" w:rsidR="00BF1FEF" w:rsidRPr="00BF1FEF" w:rsidRDefault="00BF1FEF" w:rsidP="00BF1FEF">
      <w:pPr>
        <w:numPr>
          <w:ilvl w:val="0"/>
          <w:numId w:val="1"/>
        </w:numPr>
      </w:pPr>
      <w:r w:rsidRPr="00BF1FEF">
        <w:t>ACP Decisions – Presents </w:t>
      </w:r>
      <w:hyperlink r:id="rId10" w:history="1">
        <w:r w:rsidRPr="00BF1FEF">
          <w:rPr>
            <w:rStyle w:val="Hyperlink"/>
          </w:rPr>
          <w:t>ACP videos</w:t>
        </w:r>
      </w:hyperlink>
      <w:r w:rsidRPr="00BF1FEF">
        <w:t> describing how overall goals of care, CPR, and mechanical ventilation can influence patients’ and surrogates’ preferences for end-of-life care.</w:t>
      </w:r>
    </w:p>
    <w:p w14:paraId="4FA7D5FD" w14:textId="77777777" w:rsidR="00BF1FEF" w:rsidRPr="00BF1FEF" w:rsidRDefault="00BF1FEF" w:rsidP="00BF1FEF">
      <w:pPr>
        <w:numPr>
          <w:ilvl w:val="0"/>
          <w:numId w:val="1"/>
        </w:numPr>
      </w:pPr>
      <w:r w:rsidRPr="00BF1FEF">
        <w:t>The Conversation Project – Provides a </w:t>
      </w:r>
      <w:hyperlink r:id="rId11" w:history="1">
        <w:r w:rsidRPr="00BF1FEF">
          <w:rPr>
            <w:rStyle w:val="Hyperlink"/>
          </w:rPr>
          <w:t>written toolkit</w:t>
        </w:r>
      </w:hyperlink>
      <w:r w:rsidRPr="00BF1FEF">
        <w:t> with values-based questions to help individuals start ACP conversations.</w:t>
      </w:r>
    </w:p>
    <w:p w14:paraId="74C9390D" w14:textId="77777777" w:rsidR="00BF1FEF" w:rsidRPr="00BF1FEF" w:rsidRDefault="00BF1FEF" w:rsidP="00BF1FEF">
      <w:pPr>
        <w:numPr>
          <w:ilvl w:val="0"/>
          <w:numId w:val="1"/>
        </w:numPr>
      </w:pPr>
      <w:r w:rsidRPr="00BF1FEF">
        <w:t>The GO WISH card game – A </w:t>
      </w:r>
      <w:hyperlink r:id="rId12" w:history="1">
        <w:r w:rsidRPr="00BF1FEF">
          <w:rPr>
            <w:rStyle w:val="Hyperlink"/>
          </w:rPr>
          <w:t>set of cards</w:t>
        </w:r>
      </w:hyperlink>
      <w:r w:rsidRPr="00BF1FEF">
        <w:t> that describes potential quality-of-life values and may facilitate conversations among older adults with cognitive impairment.</w:t>
      </w:r>
    </w:p>
    <w:p w14:paraId="669EA85F" w14:textId="77777777" w:rsidR="00BF1FEF" w:rsidRPr="00BF1FEF" w:rsidRDefault="00BF1FEF" w:rsidP="00BF1FEF">
      <w:r w:rsidRPr="00BF1FEF">
        <w:t>In addition, the article includes </w:t>
      </w:r>
      <w:hyperlink r:id="rId13" w:history="1">
        <w:r w:rsidRPr="00BF1FEF">
          <w:rPr>
            <w:rStyle w:val="Hyperlink"/>
          </w:rPr>
          <w:t>Table 2</w:t>
        </w:r>
      </w:hyperlink>
      <w:r w:rsidRPr="00BF1FEF">
        <w:t> discussing Strategies to Systemize ACP and End-of-Life Communication and </w:t>
      </w:r>
      <w:hyperlink r:id="rId14" w:history="1">
        <w:r w:rsidRPr="00BF1FEF">
          <w:rPr>
            <w:rStyle w:val="Hyperlink"/>
          </w:rPr>
          <w:t>Table 3</w:t>
        </w:r>
      </w:hyperlink>
      <w:r w:rsidRPr="00BF1FEF">
        <w:t> Nonverbal and Verbal Communication Strategies.</w:t>
      </w:r>
    </w:p>
    <w:p w14:paraId="6FAE4011" w14:textId="77777777" w:rsidR="00BF1FEF" w:rsidRPr="00BF1FEF" w:rsidRDefault="00BF1FEF" w:rsidP="00BF1FEF">
      <w:r w:rsidRPr="00BF1FEF">
        <w:lastRenderedPageBreak/>
        <w:t>During a recent member call, a request was made for an assessment to determine a resident’s prognosis. According to </w:t>
      </w:r>
      <w:hyperlink r:id="rId15" w:history="1">
        <w:r w:rsidRPr="00BF1FEF">
          <w:rPr>
            <w:rStyle w:val="Hyperlink"/>
          </w:rPr>
          <w:t>Predicting Prognosis: How to decide when End-of-Life Care is Needed</w:t>
        </w:r>
      </w:hyperlink>
      <w:r w:rsidRPr="00BF1FEF">
        <w:t> from Time of Care, Online Medicine, Notebook, there are three general guidelines for predicting prognosis:</w:t>
      </w:r>
    </w:p>
    <w:p w14:paraId="0ADCBA2D" w14:textId="77777777" w:rsidR="00BF1FEF" w:rsidRPr="00BF1FEF" w:rsidRDefault="00BF1FEF" w:rsidP="00BF1FEF">
      <w:pPr>
        <w:numPr>
          <w:ilvl w:val="0"/>
          <w:numId w:val="2"/>
        </w:numPr>
      </w:pPr>
      <w:r w:rsidRPr="00BF1FEF">
        <w:t xml:space="preserve">Clinical progression of disease (likely </w:t>
      </w:r>
      <w:proofErr w:type="gramStart"/>
      <w:r w:rsidRPr="00BF1FEF">
        <w:t>involves</w:t>
      </w:r>
      <w:proofErr w:type="gramEnd"/>
      <w:r w:rsidRPr="00BF1FEF">
        <w:t xml:space="preserve"> physician collaboration).</w:t>
      </w:r>
    </w:p>
    <w:p w14:paraId="50DEF656" w14:textId="77777777" w:rsidR="00BF1FEF" w:rsidRPr="00BF1FEF" w:rsidRDefault="00BF1FEF" w:rsidP="00BF1FEF">
      <w:pPr>
        <w:numPr>
          <w:ilvl w:val="0"/>
          <w:numId w:val="2"/>
        </w:numPr>
      </w:pPr>
      <w:r w:rsidRPr="00BF1FEF">
        <w:t xml:space="preserve">Declining performance status </w:t>
      </w:r>
      <w:proofErr w:type="gramStart"/>
      <w:r w:rsidRPr="00BF1FEF">
        <w:t>including</w:t>
      </w:r>
      <w:proofErr w:type="gramEnd"/>
      <w:r w:rsidRPr="00BF1FEF">
        <w:t>:</w:t>
      </w:r>
    </w:p>
    <w:p w14:paraId="149D1E9B" w14:textId="77777777" w:rsidR="00BF1FEF" w:rsidRPr="00BF1FEF" w:rsidRDefault="00BF1FEF" w:rsidP="00BF1FEF">
      <w:pPr>
        <w:numPr>
          <w:ilvl w:val="1"/>
          <w:numId w:val="2"/>
        </w:numPr>
      </w:pPr>
      <w:r w:rsidRPr="00BF1FEF">
        <w:t>Palliative Performance Status (PPS) and Related Measures. A </w:t>
      </w:r>
      <w:hyperlink r:id="rId16" w:history="1">
        <w:r w:rsidRPr="00BF1FEF">
          <w:rPr>
            <w:rStyle w:val="Hyperlink"/>
          </w:rPr>
          <w:t>KPS</w:t>
        </w:r>
      </w:hyperlink>
      <w:r w:rsidRPr="00BF1FEF">
        <w:t> (Karnofsky Performance Status) rating, including rapid fall of at least 20 to 30 units during the last 2 to 3 months of life, generally used in cancer patients to determine the patient’s ability to tolerate therapies of serious illness such as chemotherapy.</w:t>
      </w:r>
    </w:p>
    <w:p w14:paraId="6AABE038" w14:textId="77777777" w:rsidR="00BF1FEF" w:rsidRPr="00BF1FEF" w:rsidRDefault="00BF1FEF" w:rsidP="00BF1FEF">
      <w:pPr>
        <w:numPr>
          <w:ilvl w:val="1"/>
          <w:numId w:val="2"/>
        </w:numPr>
      </w:pPr>
      <w:r w:rsidRPr="00BF1FEF">
        <w:t>Activities of Daily Living (ADLs) which is the most common method of assessing the functional status of patients with diagnosis other than cancer. The evaluation of ADLs on a serial basis has been found to be an important indicator of prognosis. Studies show that elderly patients who had significant ADL deficits had a median survival rate of 6-monhts, which a 2-year mortality rate of 80%.</w:t>
      </w:r>
    </w:p>
    <w:p w14:paraId="5EC5C239" w14:textId="77777777" w:rsidR="00BF1FEF" w:rsidRPr="00BF1FEF" w:rsidRDefault="00BF1FEF" w:rsidP="00BF1FEF">
      <w:pPr>
        <w:numPr>
          <w:ilvl w:val="1"/>
          <w:numId w:val="2"/>
        </w:numPr>
      </w:pPr>
      <w:r w:rsidRPr="00BF1FEF">
        <w:t xml:space="preserve">Declining Nutritional Status </w:t>
      </w:r>
      <w:proofErr w:type="gramStart"/>
      <w:r w:rsidRPr="00BF1FEF">
        <w:t>including</w:t>
      </w:r>
      <w:proofErr w:type="gramEnd"/>
      <w:r w:rsidRPr="00BF1FEF">
        <w:t xml:space="preserve"> a 10% unintentional weight loss. Another key indicator of poor prognosis </w:t>
      </w:r>
      <w:proofErr w:type="gramStart"/>
      <w:r w:rsidRPr="00BF1FEF">
        <w:t>including</w:t>
      </w:r>
      <w:proofErr w:type="gramEnd"/>
      <w:r w:rsidRPr="00BF1FEF">
        <w:t xml:space="preserve"> an unintentional weight loss of 10% of their normal body weight (a period of approximately 6 months) or BMI &lt;20. A BMI &lt;20 showed a higher risk of mortality in the six months following a hospital visit.</w:t>
      </w:r>
    </w:p>
    <w:p w14:paraId="63B8E48A" w14:textId="77777777" w:rsidR="00BF1FEF" w:rsidRPr="00BF1FEF" w:rsidRDefault="00BF1FEF" w:rsidP="00BF1FEF">
      <w:hyperlink r:id="rId17" w:history="1">
        <w:r w:rsidRPr="00BF1FEF">
          <w:rPr>
            <w:rStyle w:val="Hyperlink"/>
          </w:rPr>
          <w:t>Appendix PP</w:t>
        </w:r>
      </w:hyperlink>
      <w:r w:rsidRPr="00BF1FEF">
        <w:t> of the State Operations Manual (F578) doesn’t specify how nursing homes must carry out Advance Care Planning processes, but states that a process for Advance Care Planning is required. The interpretative guidance in F578 states “The ability of a dying person to control decisions about medical care and daily routines has been identified as one of the key elements of quality care at the end of life. The process of advance care planning is ongoing and affords the resident, family, and others on the resident’s interdisciplinary health care team an opportunity to reassess the resident’s goals and wishes as the resident’s medical condition changes. Advance care planning is an integral aspect of the facility’s comprehensive care planning process and assures re-evaluation of the resident’s desires on a routine basis and when there is a significant change in the resident’s condition. This process can help the resident, family, and interdisciplinary team prepare for the time when a resident becomes unable to make decisions or is actively dying.”</w:t>
      </w:r>
    </w:p>
    <w:p w14:paraId="4724682F" w14:textId="77777777" w:rsidR="00BF1FEF" w:rsidRPr="00BF1FEF" w:rsidRDefault="00BF1FEF" w:rsidP="00BF1FEF">
      <w:r w:rsidRPr="00BF1FEF">
        <w:t>Utilizing the tools provided in this article, long-term care providers can identify each resident’s prognosis, in collaboration with the resident’s physician and implement strategies for a thoughtful advanced care planning discussion to maintain compliance with Federal Regulations.</w:t>
      </w:r>
    </w:p>
    <w:p w14:paraId="47A29CF4" w14:textId="77777777" w:rsidR="00BE7951" w:rsidRDefault="00BE7951"/>
    <w:sectPr w:rsidR="00BE7951" w:rsidSect="00BF1FEF">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C3EA" w14:textId="77777777" w:rsidR="00BF1FEF" w:rsidRDefault="00BF1FEF" w:rsidP="00BF1FEF">
      <w:pPr>
        <w:spacing w:after="0" w:line="240" w:lineRule="auto"/>
      </w:pPr>
      <w:r>
        <w:separator/>
      </w:r>
    </w:p>
  </w:endnote>
  <w:endnote w:type="continuationSeparator" w:id="0">
    <w:p w14:paraId="2F3F7399" w14:textId="77777777" w:rsidR="00BF1FEF" w:rsidRDefault="00BF1FEF" w:rsidP="00BF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78EB" w14:textId="77777777" w:rsidR="00BF1FEF" w:rsidRDefault="00BF1FEF" w:rsidP="00BF1FEF">
      <w:pPr>
        <w:spacing w:after="0" w:line="240" w:lineRule="auto"/>
      </w:pPr>
      <w:r>
        <w:separator/>
      </w:r>
    </w:p>
  </w:footnote>
  <w:footnote w:type="continuationSeparator" w:id="0">
    <w:p w14:paraId="1BEF80FE" w14:textId="77777777" w:rsidR="00BF1FEF" w:rsidRDefault="00BF1FEF" w:rsidP="00BF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F72" w14:textId="22495C08" w:rsidR="00BF1FEF" w:rsidRDefault="00BF1FEF">
    <w:pPr>
      <w:pStyle w:val="Header"/>
    </w:pPr>
  </w:p>
  <w:p w14:paraId="15A62A26" w14:textId="77777777" w:rsidR="00BF1FEF" w:rsidRDefault="00BF1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7E3A" w14:textId="691665D1" w:rsidR="00BF1FEF" w:rsidRDefault="00BF1FEF" w:rsidP="00BF1FEF">
    <w:pPr>
      <w:pStyle w:val="Header"/>
      <w:ind w:left="-1260"/>
    </w:pPr>
    <w:r>
      <w:rPr>
        <w:noProof/>
      </w:rPr>
      <w:drawing>
        <wp:inline distT="0" distB="0" distL="0" distR="0" wp14:anchorId="1B4CDF17" wp14:editId="6F1738DD">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95F"/>
    <w:multiLevelType w:val="multilevel"/>
    <w:tmpl w:val="EE3C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E676D"/>
    <w:multiLevelType w:val="multilevel"/>
    <w:tmpl w:val="F648A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612559">
    <w:abstractNumId w:val="0"/>
  </w:num>
  <w:num w:numId="2" w16cid:durableId="42134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EF"/>
    <w:rsid w:val="003567DC"/>
    <w:rsid w:val="006A0130"/>
    <w:rsid w:val="00BE7951"/>
    <w:rsid w:val="00BF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D892"/>
  <w15:chartTrackingRefBased/>
  <w15:docId w15:val="{DE81963D-F3E1-492B-BAC3-787147AA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EF"/>
    <w:rPr>
      <w:rFonts w:eastAsiaTheme="majorEastAsia" w:cstheme="majorBidi"/>
      <w:color w:val="272727" w:themeColor="text1" w:themeTint="D8"/>
    </w:rPr>
  </w:style>
  <w:style w:type="paragraph" w:styleId="Title">
    <w:name w:val="Title"/>
    <w:basedOn w:val="Normal"/>
    <w:next w:val="Normal"/>
    <w:link w:val="TitleChar"/>
    <w:uiPriority w:val="10"/>
    <w:qFormat/>
    <w:rsid w:val="00BF1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EF"/>
    <w:pPr>
      <w:spacing w:before="160"/>
      <w:jc w:val="center"/>
    </w:pPr>
    <w:rPr>
      <w:i/>
      <w:iCs/>
      <w:color w:val="404040" w:themeColor="text1" w:themeTint="BF"/>
    </w:rPr>
  </w:style>
  <w:style w:type="character" w:customStyle="1" w:styleId="QuoteChar">
    <w:name w:val="Quote Char"/>
    <w:basedOn w:val="DefaultParagraphFont"/>
    <w:link w:val="Quote"/>
    <w:uiPriority w:val="29"/>
    <w:rsid w:val="00BF1FEF"/>
    <w:rPr>
      <w:i/>
      <w:iCs/>
      <w:color w:val="404040" w:themeColor="text1" w:themeTint="BF"/>
    </w:rPr>
  </w:style>
  <w:style w:type="paragraph" w:styleId="ListParagraph">
    <w:name w:val="List Paragraph"/>
    <w:basedOn w:val="Normal"/>
    <w:uiPriority w:val="34"/>
    <w:qFormat/>
    <w:rsid w:val="00BF1FEF"/>
    <w:pPr>
      <w:ind w:left="720"/>
      <w:contextualSpacing/>
    </w:pPr>
  </w:style>
  <w:style w:type="character" w:styleId="IntenseEmphasis">
    <w:name w:val="Intense Emphasis"/>
    <w:basedOn w:val="DefaultParagraphFont"/>
    <w:uiPriority w:val="21"/>
    <w:qFormat/>
    <w:rsid w:val="00BF1FEF"/>
    <w:rPr>
      <w:i/>
      <w:iCs/>
      <w:color w:val="0F4761" w:themeColor="accent1" w:themeShade="BF"/>
    </w:rPr>
  </w:style>
  <w:style w:type="paragraph" w:styleId="IntenseQuote">
    <w:name w:val="Intense Quote"/>
    <w:basedOn w:val="Normal"/>
    <w:next w:val="Normal"/>
    <w:link w:val="IntenseQuoteChar"/>
    <w:uiPriority w:val="30"/>
    <w:qFormat/>
    <w:rsid w:val="00BF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EF"/>
    <w:rPr>
      <w:i/>
      <w:iCs/>
      <w:color w:val="0F4761" w:themeColor="accent1" w:themeShade="BF"/>
    </w:rPr>
  </w:style>
  <w:style w:type="character" w:styleId="IntenseReference">
    <w:name w:val="Intense Reference"/>
    <w:basedOn w:val="DefaultParagraphFont"/>
    <w:uiPriority w:val="32"/>
    <w:qFormat/>
    <w:rsid w:val="00BF1FEF"/>
    <w:rPr>
      <w:b/>
      <w:bCs/>
      <w:smallCaps/>
      <w:color w:val="0F4761" w:themeColor="accent1" w:themeShade="BF"/>
      <w:spacing w:val="5"/>
    </w:rPr>
  </w:style>
  <w:style w:type="character" w:styleId="Hyperlink">
    <w:name w:val="Hyperlink"/>
    <w:basedOn w:val="DefaultParagraphFont"/>
    <w:uiPriority w:val="99"/>
    <w:unhideWhenUsed/>
    <w:rsid w:val="00BF1FEF"/>
    <w:rPr>
      <w:color w:val="467886" w:themeColor="hyperlink"/>
      <w:u w:val="single"/>
    </w:rPr>
  </w:style>
  <w:style w:type="character" w:styleId="UnresolvedMention">
    <w:name w:val="Unresolved Mention"/>
    <w:basedOn w:val="DefaultParagraphFont"/>
    <w:uiPriority w:val="99"/>
    <w:semiHidden/>
    <w:unhideWhenUsed/>
    <w:rsid w:val="00BF1FEF"/>
    <w:rPr>
      <w:color w:val="605E5C"/>
      <w:shd w:val="clear" w:color="auto" w:fill="E1DFDD"/>
    </w:rPr>
  </w:style>
  <w:style w:type="paragraph" w:styleId="Header">
    <w:name w:val="header"/>
    <w:basedOn w:val="Normal"/>
    <w:link w:val="HeaderChar"/>
    <w:uiPriority w:val="99"/>
    <w:unhideWhenUsed/>
    <w:rsid w:val="00BF1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F"/>
  </w:style>
  <w:style w:type="paragraph" w:styleId="Footer">
    <w:name w:val="footer"/>
    <w:basedOn w:val="Normal"/>
    <w:link w:val="FooterChar"/>
    <w:uiPriority w:val="99"/>
    <w:unhideWhenUsed/>
    <w:rsid w:val="00BF1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077973">
      <w:bodyDiv w:val="1"/>
      <w:marLeft w:val="0"/>
      <w:marRight w:val="0"/>
      <w:marTop w:val="0"/>
      <w:marBottom w:val="0"/>
      <w:divBdr>
        <w:top w:val="none" w:sz="0" w:space="0" w:color="auto"/>
        <w:left w:val="none" w:sz="0" w:space="0" w:color="auto"/>
        <w:bottom w:val="none" w:sz="0" w:space="0" w:color="auto"/>
        <w:right w:val="none" w:sz="0" w:space="0" w:color="auto"/>
      </w:divBdr>
    </w:div>
    <w:div w:id="18958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844190/table/T1/" TargetMode="External"/><Relationship Id="rId13" Type="http://schemas.openxmlformats.org/officeDocument/2006/relationships/hyperlink" Target="https://www.ncbi.nlm.nih.gov/pmc/articles/PMC7844190/table/T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7844190/" TargetMode="External"/><Relationship Id="rId12" Type="http://schemas.openxmlformats.org/officeDocument/2006/relationships/hyperlink" Target="http://www.gowish.org/" TargetMode="External"/><Relationship Id="rId17" Type="http://schemas.openxmlformats.org/officeDocument/2006/relationships/hyperlink" Target="https://www.cms.gov/medicare/provider-enrollment-and-certification/guidanceforlawsandregulations/downloads/appendix-pp-state-operations-manual.pdf" TargetMode="External"/><Relationship Id="rId2" Type="http://schemas.openxmlformats.org/officeDocument/2006/relationships/styles" Target="styles.xml"/><Relationship Id="rId16" Type="http://schemas.openxmlformats.org/officeDocument/2006/relationships/hyperlink" Target="https://www.mdcalc.com/calc/3168/karnofsky-performance-status-sca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conversationproject.org/"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timeofcare.com/predicting-prognosis-how-to-decide-when-end-of-life-care-is-needed/" TargetMode="External"/><Relationship Id="rId23" Type="http://schemas.openxmlformats.org/officeDocument/2006/relationships/customXml" Target="../customXml/item2.xml"/><Relationship Id="rId10" Type="http://schemas.openxmlformats.org/officeDocument/2006/relationships/hyperlink" Target="http://www.acpdecisions.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repareforyourcare.org/" TargetMode="External"/><Relationship Id="rId14" Type="http://schemas.openxmlformats.org/officeDocument/2006/relationships/hyperlink" Target="https://www.ncbi.nlm.nih.gov/pmc/articles/PMC7844190/table/T3/" TargetMode="Externa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50F60E9C-6DAE-4E1A-8CAE-C9216F321F94}"/>
</file>

<file path=customXml/itemProps2.xml><?xml version="1.0" encoding="utf-8"?>
<ds:datastoreItem xmlns:ds="http://schemas.openxmlformats.org/officeDocument/2006/customXml" ds:itemID="{4CDAEB6F-E87C-48C1-B408-98FC8469AAE9}"/>
</file>

<file path=customXml/itemProps3.xml><?xml version="1.0" encoding="utf-8"?>
<ds:datastoreItem xmlns:ds="http://schemas.openxmlformats.org/officeDocument/2006/customXml" ds:itemID="{B9DED113-094C-4F1D-88F9-8D81C6F5CCE7}"/>
</file>

<file path=docProps/app.xml><?xml version="1.0" encoding="utf-8"?>
<Properties xmlns="http://schemas.openxmlformats.org/officeDocument/2006/extended-properties" xmlns:vt="http://schemas.openxmlformats.org/officeDocument/2006/docPropsVTypes">
  <Template>Normal</Template>
  <TotalTime>7</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2026-06-15T19:52:00Z</dcterms:created>
  <dcterms:modified xsi:type="dcterms:W3CDTF">2026-06-15T19:59:00Z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