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2F75" w14:textId="7BDEAE54" w:rsidR="00CF515E" w:rsidRPr="00CF515E" w:rsidRDefault="00CF515E" w:rsidP="00CF515E">
      <w:pPr>
        <w:jc w:val="center"/>
        <w:rPr>
          <w:b/>
          <w:bCs/>
        </w:rPr>
      </w:pPr>
      <w:r>
        <w:rPr>
          <w:b/>
          <w:bCs/>
        </w:rPr>
        <w:t xml:space="preserve">481-69.22 - </w:t>
      </w:r>
      <w:r w:rsidRPr="00CF515E">
        <w:rPr>
          <w:b/>
          <w:bCs/>
        </w:rPr>
        <w:t>Ongoing Tenant Evaluations</w:t>
      </w:r>
    </w:p>
    <w:p w14:paraId="6CEE66E1" w14:textId="77777777" w:rsidR="00CF515E" w:rsidRPr="00CF515E" w:rsidRDefault="00CF515E" w:rsidP="00CF515E">
      <w:r w:rsidRPr="00CF515E">
        <w:t>In the last rule review, we covered initial tenant evaluations. </w:t>
      </w:r>
      <w:hyperlink r:id="rId10" w:history="1">
        <w:r w:rsidRPr="00CF515E">
          <w:rPr>
            <w:rStyle w:val="Hyperlink"/>
          </w:rPr>
          <w:t>481-69.22 (2) and (3)</w:t>
        </w:r>
      </w:hyperlink>
      <w:r w:rsidRPr="00CF515E">
        <w:t> requires that once a tenant is admitted to the assisted living program, there are required ongoing evaluations that must be completed. Again, each evaluation must consist of the three components – health, functional, and cognitive to be compliant. Unless a significant change of condition occurs shortly after admission, the next required evaluation will be within 30 days of occupancy. This is calculated by calendar days, so ensure that you have a process of tracking when these evaluations are due.</w:t>
      </w:r>
    </w:p>
    <w:p w14:paraId="10EDBB9B" w14:textId="77777777" w:rsidR="00CF515E" w:rsidRPr="00CF515E" w:rsidRDefault="00CF515E" w:rsidP="00CF515E">
      <w:r w:rsidRPr="00CF515E">
        <w:t>Once this evaluation is complete, evaluations are required at least annually and whenever a tenant has a significant change in condition. In assisted living, a significant change of condition can be somewhat subjective whereas the nursing home has very specific criteria for completing a significant change of condition Minimum Data Set (MDS). Each tenant’s condition and change must be considered as a possible significant change. There are two recommendations that I usually provide when programs ask me if an event would require a significant change evaluation. The first is to use the flow chart in Table A that the department developed. This walks you through various scenarios based on questions to determine if a nurse review, evaluation, and service plan update is necessary. You can find this on the </w:t>
      </w:r>
      <w:hyperlink r:id="rId11" w:history="1">
        <w:r w:rsidRPr="00CF515E">
          <w:rPr>
            <w:rStyle w:val="Hyperlink"/>
          </w:rPr>
          <w:t>last page of 481-69.</w:t>
        </w:r>
      </w:hyperlink>
      <w:r w:rsidRPr="00CF515E">
        <w:t> Secondly, I would offer that if you are in doubt of whether a significant change exists, you should complete an evaluation. Completing evaluations when they were not necessary does not result in non-compliance but failing to complete them does.</w:t>
      </w:r>
    </w:p>
    <w:p w14:paraId="0B42D226" w14:textId="77777777" w:rsidR="00CF515E" w:rsidRPr="00CF515E" w:rsidRDefault="00CF515E" w:rsidP="00CF515E">
      <w:r w:rsidRPr="00CF515E">
        <w:t>This rule is commonly cited with examples including but not limited to:</w:t>
      </w:r>
    </w:p>
    <w:p w14:paraId="1D84AF0F" w14:textId="77777777" w:rsidR="00CF515E" w:rsidRPr="00CF515E" w:rsidRDefault="00CF515E" w:rsidP="00CF515E">
      <w:pPr>
        <w:numPr>
          <w:ilvl w:val="0"/>
          <w:numId w:val="14"/>
        </w:numPr>
      </w:pPr>
      <w:r w:rsidRPr="00CF515E">
        <w:t>An evaluation was not completed within 30 days of occupancy.</w:t>
      </w:r>
    </w:p>
    <w:p w14:paraId="063C8F38" w14:textId="77777777" w:rsidR="00CF515E" w:rsidRPr="00CF515E" w:rsidRDefault="00CF515E" w:rsidP="00CF515E">
      <w:pPr>
        <w:numPr>
          <w:ilvl w:val="0"/>
          <w:numId w:val="14"/>
        </w:numPr>
      </w:pPr>
      <w:r w:rsidRPr="00CF515E">
        <w:t>A significant change evaluation was not completed for a variety of reasons that may be as simple as a change in medication to significant hospitalizations.</w:t>
      </w:r>
    </w:p>
    <w:p w14:paraId="5C4F16BB" w14:textId="77777777" w:rsidR="00CF515E" w:rsidRPr="00CF515E" w:rsidRDefault="00CF515E" w:rsidP="00CF515E">
      <w:pPr>
        <w:numPr>
          <w:ilvl w:val="0"/>
          <w:numId w:val="14"/>
        </w:numPr>
      </w:pPr>
      <w:r w:rsidRPr="00CF515E">
        <w:t>Evaluations were completed in the specified circumstances but did not include the three components (health, functional, and cognitive).</w:t>
      </w:r>
    </w:p>
    <w:p w14:paraId="6A872173" w14:textId="0C5E9169" w:rsidR="00BE7951" w:rsidRPr="00CF515E" w:rsidRDefault="00BE7951" w:rsidP="00CF515E"/>
    <w:sectPr w:rsidR="00BE7951" w:rsidRPr="00CF515E" w:rsidSect="001A32B5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532D" w14:textId="77777777" w:rsidR="00342287" w:rsidRDefault="00342287" w:rsidP="001A32B5">
      <w:pPr>
        <w:spacing w:after="0" w:line="240" w:lineRule="auto"/>
      </w:pPr>
      <w:r>
        <w:separator/>
      </w:r>
    </w:p>
  </w:endnote>
  <w:endnote w:type="continuationSeparator" w:id="0">
    <w:p w14:paraId="387ED401" w14:textId="77777777" w:rsidR="00342287" w:rsidRDefault="00342287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8EBB" w14:textId="77777777" w:rsidR="00342287" w:rsidRDefault="00342287" w:rsidP="001A32B5">
      <w:pPr>
        <w:spacing w:after="0" w:line="240" w:lineRule="auto"/>
      </w:pPr>
      <w:r>
        <w:separator/>
      </w:r>
    </w:p>
  </w:footnote>
  <w:footnote w:type="continuationSeparator" w:id="0">
    <w:p w14:paraId="3DA82C2E" w14:textId="77777777" w:rsidR="00342287" w:rsidRDefault="00342287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3F49AF17" w:rsidR="001A32B5" w:rsidRDefault="00750873" w:rsidP="001A32B5">
    <w:pPr>
      <w:pStyle w:val="Header"/>
      <w:ind w:left="-1260"/>
    </w:pPr>
    <w:r>
      <w:rPr>
        <w:noProof/>
      </w:rPr>
      <w:drawing>
        <wp:inline distT="0" distB="0" distL="0" distR="0" wp14:anchorId="08CEE9C3" wp14:editId="3FD4D42B">
          <wp:extent cx="1269841" cy="571429"/>
          <wp:effectExtent l="0" t="0" r="6985" b="635"/>
          <wp:docPr id="344326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26997" name="Picture 344326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41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2CB"/>
    <w:multiLevelType w:val="multilevel"/>
    <w:tmpl w:val="8C5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704A9"/>
    <w:multiLevelType w:val="multilevel"/>
    <w:tmpl w:val="F0A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677A8"/>
    <w:multiLevelType w:val="multilevel"/>
    <w:tmpl w:val="79F8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84F50"/>
    <w:multiLevelType w:val="multilevel"/>
    <w:tmpl w:val="FCC0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C759E"/>
    <w:multiLevelType w:val="multilevel"/>
    <w:tmpl w:val="11C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A36DE6"/>
    <w:multiLevelType w:val="multilevel"/>
    <w:tmpl w:val="DDB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A428CD"/>
    <w:multiLevelType w:val="multilevel"/>
    <w:tmpl w:val="E8C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D23A4"/>
    <w:multiLevelType w:val="multilevel"/>
    <w:tmpl w:val="FE9A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5C2225"/>
    <w:multiLevelType w:val="multilevel"/>
    <w:tmpl w:val="28A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1B040F"/>
    <w:multiLevelType w:val="multilevel"/>
    <w:tmpl w:val="C75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9C0784"/>
    <w:multiLevelType w:val="multilevel"/>
    <w:tmpl w:val="F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B86783"/>
    <w:multiLevelType w:val="multilevel"/>
    <w:tmpl w:val="B48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DB086B"/>
    <w:multiLevelType w:val="multilevel"/>
    <w:tmpl w:val="3320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E435FF"/>
    <w:multiLevelType w:val="multilevel"/>
    <w:tmpl w:val="60E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0909821">
    <w:abstractNumId w:val="0"/>
  </w:num>
  <w:num w:numId="2" w16cid:durableId="1711564617">
    <w:abstractNumId w:val="8"/>
  </w:num>
  <w:num w:numId="3" w16cid:durableId="642318845">
    <w:abstractNumId w:val="10"/>
  </w:num>
  <w:num w:numId="4" w16cid:durableId="1591694173">
    <w:abstractNumId w:val="13"/>
  </w:num>
  <w:num w:numId="5" w16cid:durableId="2112357165">
    <w:abstractNumId w:val="7"/>
  </w:num>
  <w:num w:numId="6" w16cid:durableId="1431972469">
    <w:abstractNumId w:val="4"/>
  </w:num>
  <w:num w:numId="7" w16cid:durableId="1227186350">
    <w:abstractNumId w:val="1"/>
  </w:num>
  <w:num w:numId="8" w16cid:durableId="1514606540">
    <w:abstractNumId w:val="3"/>
  </w:num>
  <w:num w:numId="9" w16cid:durableId="1706129582">
    <w:abstractNumId w:val="12"/>
  </w:num>
  <w:num w:numId="10" w16cid:durableId="624310214">
    <w:abstractNumId w:val="2"/>
  </w:num>
  <w:num w:numId="11" w16cid:durableId="1758403957">
    <w:abstractNumId w:val="9"/>
  </w:num>
  <w:num w:numId="12" w16cid:durableId="228082181">
    <w:abstractNumId w:val="6"/>
  </w:num>
  <w:num w:numId="13" w16cid:durableId="1661153470">
    <w:abstractNumId w:val="11"/>
  </w:num>
  <w:num w:numId="14" w16cid:durableId="131865587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26258"/>
    <w:rsid w:val="00084133"/>
    <w:rsid w:val="000E21AA"/>
    <w:rsid w:val="000E6E3E"/>
    <w:rsid w:val="000F3FB3"/>
    <w:rsid w:val="00106EE7"/>
    <w:rsid w:val="001359C2"/>
    <w:rsid w:val="001407D7"/>
    <w:rsid w:val="001614C6"/>
    <w:rsid w:val="00185BDC"/>
    <w:rsid w:val="001A32B5"/>
    <w:rsid w:val="001A6830"/>
    <w:rsid w:val="002A4CC2"/>
    <w:rsid w:val="002A6E3D"/>
    <w:rsid w:val="002B42B5"/>
    <w:rsid w:val="002C215D"/>
    <w:rsid w:val="002C24AF"/>
    <w:rsid w:val="00342130"/>
    <w:rsid w:val="00342287"/>
    <w:rsid w:val="00352B4B"/>
    <w:rsid w:val="003567DC"/>
    <w:rsid w:val="00365A8A"/>
    <w:rsid w:val="003C1BDA"/>
    <w:rsid w:val="003C4B30"/>
    <w:rsid w:val="003D33CC"/>
    <w:rsid w:val="003D7E5B"/>
    <w:rsid w:val="003E2E8D"/>
    <w:rsid w:val="003F5814"/>
    <w:rsid w:val="003F60D3"/>
    <w:rsid w:val="0041610F"/>
    <w:rsid w:val="00435FDD"/>
    <w:rsid w:val="004446C2"/>
    <w:rsid w:val="00447E97"/>
    <w:rsid w:val="00452367"/>
    <w:rsid w:val="0048609E"/>
    <w:rsid w:val="0048692D"/>
    <w:rsid w:val="004C1948"/>
    <w:rsid w:val="004D3E52"/>
    <w:rsid w:val="004F3A8D"/>
    <w:rsid w:val="00545473"/>
    <w:rsid w:val="00571240"/>
    <w:rsid w:val="005808D7"/>
    <w:rsid w:val="005E12EB"/>
    <w:rsid w:val="005F3DAF"/>
    <w:rsid w:val="00606982"/>
    <w:rsid w:val="006615C6"/>
    <w:rsid w:val="00694FE6"/>
    <w:rsid w:val="006C29A8"/>
    <w:rsid w:val="006D22B7"/>
    <w:rsid w:val="0070278D"/>
    <w:rsid w:val="00713109"/>
    <w:rsid w:val="0074114B"/>
    <w:rsid w:val="00750873"/>
    <w:rsid w:val="007902AA"/>
    <w:rsid w:val="007A0CC5"/>
    <w:rsid w:val="007B00DD"/>
    <w:rsid w:val="007D4274"/>
    <w:rsid w:val="007E3F1A"/>
    <w:rsid w:val="007F3830"/>
    <w:rsid w:val="0080291A"/>
    <w:rsid w:val="008109D2"/>
    <w:rsid w:val="0083676E"/>
    <w:rsid w:val="008465E6"/>
    <w:rsid w:val="008D5B12"/>
    <w:rsid w:val="00905710"/>
    <w:rsid w:val="00912A8E"/>
    <w:rsid w:val="009136A1"/>
    <w:rsid w:val="00941AB3"/>
    <w:rsid w:val="0098015A"/>
    <w:rsid w:val="00993191"/>
    <w:rsid w:val="009A50DA"/>
    <w:rsid w:val="009D5765"/>
    <w:rsid w:val="009E319E"/>
    <w:rsid w:val="009F442A"/>
    <w:rsid w:val="00A23B23"/>
    <w:rsid w:val="00A23E74"/>
    <w:rsid w:val="00A35D66"/>
    <w:rsid w:val="00A704C1"/>
    <w:rsid w:val="00A82710"/>
    <w:rsid w:val="00A907D7"/>
    <w:rsid w:val="00A92DA8"/>
    <w:rsid w:val="00A97739"/>
    <w:rsid w:val="00AD02CE"/>
    <w:rsid w:val="00AE4664"/>
    <w:rsid w:val="00B06AF5"/>
    <w:rsid w:val="00B27BEB"/>
    <w:rsid w:val="00B54282"/>
    <w:rsid w:val="00B61E58"/>
    <w:rsid w:val="00B81338"/>
    <w:rsid w:val="00BC4BC9"/>
    <w:rsid w:val="00BD276E"/>
    <w:rsid w:val="00BD64F5"/>
    <w:rsid w:val="00BE7951"/>
    <w:rsid w:val="00C07821"/>
    <w:rsid w:val="00C358E5"/>
    <w:rsid w:val="00C42623"/>
    <w:rsid w:val="00C73282"/>
    <w:rsid w:val="00C86929"/>
    <w:rsid w:val="00C9600F"/>
    <w:rsid w:val="00CB0F95"/>
    <w:rsid w:val="00CD46C7"/>
    <w:rsid w:val="00CE5979"/>
    <w:rsid w:val="00CF2EE2"/>
    <w:rsid w:val="00CF4D90"/>
    <w:rsid w:val="00CF515E"/>
    <w:rsid w:val="00CF6028"/>
    <w:rsid w:val="00D10266"/>
    <w:rsid w:val="00D17532"/>
    <w:rsid w:val="00D20B23"/>
    <w:rsid w:val="00D402B2"/>
    <w:rsid w:val="00D660EA"/>
    <w:rsid w:val="00D83D56"/>
    <w:rsid w:val="00D870AF"/>
    <w:rsid w:val="00DC1209"/>
    <w:rsid w:val="00DC185F"/>
    <w:rsid w:val="00DC5990"/>
    <w:rsid w:val="00E36893"/>
    <w:rsid w:val="00E45A68"/>
    <w:rsid w:val="00E65F26"/>
    <w:rsid w:val="00E767CD"/>
    <w:rsid w:val="00E80DA5"/>
    <w:rsid w:val="00E90006"/>
    <w:rsid w:val="00EE2BCA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  <w:style w:type="paragraph" w:styleId="NormalWeb">
    <w:name w:val="Normal (Web)"/>
    <w:basedOn w:val="Normal"/>
    <w:uiPriority w:val="99"/>
    <w:semiHidden/>
    <w:unhideWhenUsed/>
    <w:rsid w:val="004161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.iowa.gov/docs/iac/chapter/07-23-2025.481.69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.iowa.gov/docs/iac/rule/02-05-2025.481.69.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cp:lastPrinted>2026-06-26T14:19:00Z</cp:lastPrinted>
  <dcterms:created xsi:type="dcterms:W3CDTF">2026-06-30T13:35:00Z</dcterms:created>
  <dcterms:modified xsi:type="dcterms:W3CDTF">2026-06-30T13:35:00Z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