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C93" w14:textId="2FE1DFBA" w:rsidR="002D64EF" w:rsidRPr="002D64EF" w:rsidRDefault="002D64EF" w:rsidP="002D64EF">
      <w:pPr>
        <w:jc w:val="center"/>
        <w:rPr>
          <w:b/>
          <w:bCs/>
        </w:rPr>
      </w:pPr>
      <w:r>
        <w:rPr>
          <w:b/>
          <w:bCs/>
        </w:rPr>
        <w:t xml:space="preserve">481-69.24(2) </w:t>
      </w:r>
      <w:r w:rsidRPr="002D64EF">
        <w:rPr>
          <w:b/>
          <w:bCs/>
        </w:rPr>
        <w:t>Involuntary Transfer from the Program Based on a Department Finding</w:t>
      </w:r>
    </w:p>
    <w:p w14:paraId="597EF195" w14:textId="77777777" w:rsidR="002D64EF" w:rsidRPr="002D64EF" w:rsidRDefault="002D64EF" w:rsidP="002D64EF">
      <w:r w:rsidRPr="002D64EF">
        <w:t>According to </w:t>
      </w:r>
      <w:hyperlink r:id="rId10" w:history="1">
        <w:r w:rsidRPr="002D64EF">
          <w:rPr>
            <w:rStyle w:val="Hyperlink"/>
          </w:rPr>
          <w:t>481-69.24(2),</w:t>
        </w:r>
      </w:hyperlink>
      <w:r w:rsidRPr="002D64EF">
        <w:t> if the Department of Inspections, Appeals, and Licensing (DIAL) conducts a monitoring visit and determines that a tenant exceeding criteria for admission or retention. The program must act accordingly based on the findings as outlined below:</w:t>
      </w:r>
    </w:p>
    <w:p w14:paraId="7606B678" w14:textId="77777777" w:rsidR="002D64EF" w:rsidRPr="002D64EF" w:rsidRDefault="002D64EF" w:rsidP="002D64EF">
      <w:pPr>
        <w:numPr>
          <w:ilvl w:val="0"/>
          <w:numId w:val="24"/>
        </w:numPr>
      </w:pPr>
      <w:r w:rsidRPr="002D64EF">
        <w:t>If the program agrees with the finding, they must initiate the involuntary transfer process along with the internal appeals process.</w:t>
      </w:r>
    </w:p>
    <w:p w14:paraId="7A931586" w14:textId="77777777" w:rsidR="002D64EF" w:rsidRPr="002D64EF" w:rsidRDefault="002D64EF" w:rsidP="002D64EF">
      <w:pPr>
        <w:numPr>
          <w:ilvl w:val="0"/>
          <w:numId w:val="24"/>
        </w:numPr>
      </w:pPr>
      <w:r w:rsidRPr="002D64EF">
        <w:t>If the program disagrees with the department’s finding, they may appeal the finding as provided in </w:t>
      </w:r>
      <w:hyperlink r:id="rId11" w:history="1">
        <w:r w:rsidRPr="002D64EF">
          <w:rPr>
            <w:rStyle w:val="Hyperlink"/>
          </w:rPr>
          <w:t>481-67.14</w:t>
        </w:r>
      </w:hyperlink>
      <w:r w:rsidRPr="002D64EF">
        <w:t>. If the appeal is filed, the tenant may remain in the program until all appeals processes have been exhausted. Appeals filed for exceeding retention criteria shall be heard within 30 days of receipt of the appeal request and the program must ensure they are providing appropriate services to meet the tenant’s needs during the appeal process(es).</w:t>
      </w:r>
    </w:p>
    <w:p w14:paraId="77ADA04D" w14:textId="77777777" w:rsidR="002D64EF" w:rsidRPr="002D64EF" w:rsidRDefault="002D64EF" w:rsidP="002D64EF">
      <w:pPr>
        <w:numPr>
          <w:ilvl w:val="0"/>
          <w:numId w:val="24"/>
        </w:numPr>
      </w:pPr>
      <w:r w:rsidRPr="002D64EF">
        <w:t>Finally, if the tenant is on hospice, the program can </w:t>
      </w:r>
      <w:hyperlink r:id="rId12" w:history="1">
        <w:r w:rsidRPr="002D64EF">
          <w:rPr>
            <w:rStyle w:val="Hyperlink"/>
          </w:rPr>
          <w:t>request a waiver</w:t>
        </w:r>
      </w:hyperlink>
      <w:r w:rsidRPr="002D64EF">
        <w:t> within 10 business days of receipt of the report in accordance with </w:t>
      </w:r>
      <w:hyperlink r:id="rId13" w:history="1">
        <w:r w:rsidRPr="002D64EF">
          <w:rPr>
            <w:rStyle w:val="Hyperlink"/>
          </w:rPr>
          <w:t>481-67.7</w:t>
        </w:r>
      </w:hyperlink>
      <w:r w:rsidRPr="002D64EF">
        <w:t>.</w:t>
      </w:r>
    </w:p>
    <w:p w14:paraId="5AEB9618" w14:textId="77777777" w:rsidR="002D64EF" w:rsidRPr="002D64EF" w:rsidRDefault="002D64EF" w:rsidP="002D64EF">
      <w:r w:rsidRPr="002D64EF">
        <w:t>Insufficiencies related to tenants exceeding admission and retention criteria are cited frequently for various reasons. These insufficiencies may include but are not limited to the amount of support necessary for ADL and hygiene support, and behavioral concerns. </w:t>
      </w:r>
    </w:p>
    <w:p w14:paraId="6A872173" w14:textId="0C5E9169" w:rsidR="00BE7951" w:rsidRPr="002D64EF" w:rsidRDefault="00BE7951" w:rsidP="002D64EF"/>
    <w:sectPr w:rsidR="00BE7951" w:rsidRPr="002D64EF" w:rsidSect="001A32B5">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3BC4" w14:textId="77777777" w:rsidR="009106F0" w:rsidRDefault="009106F0" w:rsidP="001A32B5">
      <w:pPr>
        <w:spacing w:after="0" w:line="240" w:lineRule="auto"/>
      </w:pPr>
      <w:r>
        <w:separator/>
      </w:r>
    </w:p>
  </w:endnote>
  <w:endnote w:type="continuationSeparator" w:id="0">
    <w:p w14:paraId="1A0E2EBF" w14:textId="77777777" w:rsidR="009106F0" w:rsidRDefault="009106F0"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AE8" w14:textId="77777777" w:rsidR="009106F0" w:rsidRDefault="009106F0" w:rsidP="001A32B5">
      <w:pPr>
        <w:spacing w:after="0" w:line="240" w:lineRule="auto"/>
      </w:pPr>
      <w:r>
        <w:separator/>
      </w:r>
    </w:p>
  </w:footnote>
  <w:footnote w:type="continuationSeparator" w:id="0">
    <w:p w14:paraId="2F8D5C3D" w14:textId="77777777" w:rsidR="009106F0" w:rsidRDefault="009106F0"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13"/>
    <w:multiLevelType w:val="multilevel"/>
    <w:tmpl w:val="4930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0384C"/>
    <w:multiLevelType w:val="multilevel"/>
    <w:tmpl w:val="01045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5972"/>
    <w:multiLevelType w:val="multilevel"/>
    <w:tmpl w:val="8C1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26461"/>
    <w:multiLevelType w:val="multilevel"/>
    <w:tmpl w:val="6A7A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96458"/>
    <w:multiLevelType w:val="multilevel"/>
    <w:tmpl w:val="915E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36DE6"/>
    <w:multiLevelType w:val="multilevel"/>
    <w:tmpl w:val="DDB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0F1E4C"/>
    <w:multiLevelType w:val="multilevel"/>
    <w:tmpl w:val="26748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7945D5"/>
    <w:multiLevelType w:val="multilevel"/>
    <w:tmpl w:val="8DD2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634072"/>
    <w:multiLevelType w:val="multilevel"/>
    <w:tmpl w:val="473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DB153B"/>
    <w:multiLevelType w:val="multilevel"/>
    <w:tmpl w:val="4B30F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9363C1"/>
    <w:multiLevelType w:val="multilevel"/>
    <w:tmpl w:val="787C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1"/>
  </w:num>
  <w:num w:numId="2" w16cid:durableId="1711564617">
    <w:abstractNumId w:val="14"/>
  </w:num>
  <w:num w:numId="3" w16cid:durableId="642318845">
    <w:abstractNumId w:val="20"/>
  </w:num>
  <w:num w:numId="4" w16cid:durableId="1591694173">
    <w:abstractNumId w:val="23"/>
  </w:num>
  <w:num w:numId="5" w16cid:durableId="2112357165">
    <w:abstractNumId w:val="13"/>
  </w:num>
  <w:num w:numId="6" w16cid:durableId="1431972469">
    <w:abstractNumId w:val="8"/>
  </w:num>
  <w:num w:numId="7" w16cid:durableId="1227186350">
    <w:abstractNumId w:val="3"/>
  </w:num>
  <w:num w:numId="8" w16cid:durableId="1514606540">
    <w:abstractNumId w:val="7"/>
  </w:num>
  <w:num w:numId="9" w16cid:durableId="1706129582">
    <w:abstractNumId w:val="22"/>
  </w:num>
  <w:num w:numId="10" w16cid:durableId="624310214">
    <w:abstractNumId w:val="5"/>
  </w:num>
  <w:num w:numId="11" w16cid:durableId="1758403957">
    <w:abstractNumId w:val="18"/>
  </w:num>
  <w:num w:numId="12" w16cid:durableId="228082181">
    <w:abstractNumId w:val="11"/>
  </w:num>
  <w:num w:numId="13" w16cid:durableId="1661153470">
    <w:abstractNumId w:val="21"/>
  </w:num>
  <w:num w:numId="14" w16cid:durableId="1318655874">
    <w:abstractNumId w:val="10"/>
  </w:num>
  <w:num w:numId="15" w16cid:durableId="783882717">
    <w:abstractNumId w:val="2"/>
  </w:num>
  <w:num w:numId="16" w16cid:durableId="1256135733">
    <w:abstractNumId w:val="19"/>
  </w:num>
  <w:num w:numId="17" w16cid:durableId="869491125">
    <w:abstractNumId w:val="12"/>
  </w:num>
  <w:num w:numId="18" w16cid:durableId="1121650043">
    <w:abstractNumId w:val="9"/>
  </w:num>
  <w:num w:numId="19" w16cid:durableId="1519848668">
    <w:abstractNumId w:val="17"/>
  </w:num>
  <w:num w:numId="20" w16cid:durableId="695615525">
    <w:abstractNumId w:val="0"/>
  </w:num>
  <w:num w:numId="21" w16cid:durableId="653027300">
    <w:abstractNumId w:val="6"/>
  </w:num>
  <w:num w:numId="22" w16cid:durableId="1699508985">
    <w:abstractNumId w:val="15"/>
  </w:num>
  <w:num w:numId="23" w16cid:durableId="1810392023">
    <w:abstractNumId w:val="4"/>
  </w:num>
  <w:num w:numId="24" w16cid:durableId="93186353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E6E3E"/>
    <w:rsid w:val="000F3FB3"/>
    <w:rsid w:val="00106EE7"/>
    <w:rsid w:val="001359C2"/>
    <w:rsid w:val="001407D7"/>
    <w:rsid w:val="001614C6"/>
    <w:rsid w:val="00185BDC"/>
    <w:rsid w:val="001A32B5"/>
    <w:rsid w:val="001A6830"/>
    <w:rsid w:val="002A4CC2"/>
    <w:rsid w:val="002A6E3D"/>
    <w:rsid w:val="002B42B5"/>
    <w:rsid w:val="002C215D"/>
    <w:rsid w:val="002C24AF"/>
    <w:rsid w:val="002D64EF"/>
    <w:rsid w:val="00342130"/>
    <w:rsid w:val="00342287"/>
    <w:rsid w:val="00352B4B"/>
    <w:rsid w:val="003567DC"/>
    <w:rsid w:val="00365A8A"/>
    <w:rsid w:val="003A33CF"/>
    <w:rsid w:val="003C1BDA"/>
    <w:rsid w:val="003C4B30"/>
    <w:rsid w:val="003D33CC"/>
    <w:rsid w:val="003D7E5B"/>
    <w:rsid w:val="003E2E8D"/>
    <w:rsid w:val="003F5814"/>
    <w:rsid w:val="003F60D3"/>
    <w:rsid w:val="0041610F"/>
    <w:rsid w:val="00435FDD"/>
    <w:rsid w:val="004446C2"/>
    <w:rsid w:val="00447E97"/>
    <w:rsid w:val="00452367"/>
    <w:rsid w:val="0048609E"/>
    <w:rsid w:val="00486753"/>
    <w:rsid w:val="0048692D"/>
    <w:rsid w:val="004C1948"/>
    <w:rsid w:val="004D3E52"/>
    <w:rsid w:val="004F3A8D"/>
    <w:rsid w:val="0053198F"/>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3676E"/>
    <w:rsid w:val="008465E6"/>
    <w:rsid w:val="008D5B12"/>
    <w:rsid w:val="00905710"/>
    <w:rsid w:val="009106F0"/>
    <w:rsid w:val="00912A8E"/>
    <w:rsid w:val="009136A1"/>
    <w:rsid w:val="00941AB3"/>
    <w:rsid w:val="0098015A"/>
    <w:rsid w:val="00993191"/>
    <w:rsid w:val="009A50DA"/>
    <w:rsid w:val="009D5765"/>
    <w:rsid w:val="009E319E"/>
    <w:rsid w:val="009F442A"/>
    <w:rsid w:val="00A23B23"/>
    <w:rsid w:val="00A23E74"/>
    <w:rsid w:val="00A35D66"/>
    <w:rsid w:val="00A704C1"/>
    <w:rsid w:val="00A82710"/>
    <w:rsid w:val="00A907D7"/>
    <w:rsid w:val="00A92DA8"/>
    <w:rsid w:val="00A97739"/>
    <w:rsid w:val="00AD02CE"/>
    <w:rsid w:val="00AE4664"/>
    <w:rsid w:val="00B06AF5"/>
    <w:rsid w:val="00B27BEB"/>
    <w:rsid w:val="00B54282"/>
    <w:rsid w:val="00B61E58"/>
    <w:rsid w:val="00B81338"/>
    <w:rsid w:val="00BC4BC9"/>
    <w:rsid w:val="00BD276E"/>
    <w:rsid w:val="00BD64F5"/>
    <w:rsid w:val="00BE7951"/>
    <w:rsid w:val="00C07821"/>
    <w:rsid w:val="00C358E5"/>
    <w:rsid w:val="00C42623"/>
    <w:rsid w:val="00C73282"/>
    <w:rsid w:val="00C86929"/>
    <w:rsid w:val="00C9600F"/>
    <w:rsid w:val="00CB0F95"/>
    <w:rsid w:val="00CD46C7"/>
    <w:rsid w:val="00CE5979"/>
    <w:rsid w:val="00CF2EE2"/>
    <w:rsid w:val="00CF4D90"/>
    <w:rsid w:val="00CF515E"/>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65100218">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87761243">
      <w:bodyDiv w:val="1"/>
      <w:marLeft w:val="0"/>
      <w:marRight w:val="0"/>
      <w:marTop w:val="0"/>
      <w:marBottom w:val="0"/>
      <w:divBdr>
        <w:top w:val="none" w:sz="0" w:space="0" w:color="auto"/>
        <w:left w:val="none" w:sz="0" w:space="0" w:color="auto"/>
        <w:bottom w:val="none" w:sz="0" w:space="0" w:color="auto"/>
        <w:right w:val="none" w:sz="0" w:space="0" w:color="auto"/>
      </w:divBdr>
    </w:div>
    <w:div w:id="18941976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2409884">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023989">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07139081">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34325473">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10691196">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03128208">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21350047">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iowa.gov/docs/iac/rule/02-05-2025.481.67.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adingageiowa.org/assets/AL%20Waiver%20Request%20Form%209.2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rule/02-05-2025.481.67.14.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egis.iowa.gov/docs/iac/rule/02-05-2025.481.69.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2026-06-30T13:40:00Z</dcterms:created>
  <dcterms:modified xsi:type="dcterms:W3CDTF">2026-06-30T13:41:00Z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