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3503A40D" w:rsidR="00F63200" w:rsidRPr="00CD77BC" w:rsidRDefault="006F47A4" w:rsidP="00230AC3">
      <w:pPr>
        <w:pBdr>
          <w:bottom w:val="single" w:sz="12" w:space="1" w:color="auto"/>
        </w:pBdr>
        <w:jc w:val="center"/>
        <w:rPr>
          <w:rFonts w:ascii="Arial" w:hAnsi="Arial" w:cs="Arial"/>
          <w:b/>
          <w:sz w:val="32"/>
          <w:szCs w:val="24"/>
        </w:rPr>
      </w:pPr>
      <w:r w:rsidRPr="00CD77BC">
        <w:rPr>
          <w:rFonts w:ascii="Arial" w:hAnsi="Arial" w:cs="Arial"/>
          <w:b/>
          <w:noProof/>
          <w:sz w:val="32"/>
          <w:szCs w:val="24"/>
        </w:rPr>
        <w:drawing>
          <wp:anchor distT="0" distB="0" distL="114300" distR="114300" simplePos="0" relativeHeight="251658240" behindDoc="0" locked="0" layoutInCell="1" allowOverlap="1" wp14:anchorId="4DD43ED8" wp14:editId="4E53802C">
            <wp:simplePos x="0" y="0"/>
            <wp:positionH relativeFrom="margin">
              <wp:align>left</wp:align>
            </wp:positionH>
            <wp:positionV relativeFrom="paragraph">
              <wp:posOffset>-1028700</wp:posOffset>
            </wp:positionV>
            <wp:extent cx="2009775" cy="825811"/>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9775" cy="825811"/>
                    </a:xfrm>
                    <a:prstGeom prst="rect">
                      <a:avLst/>
                    </a:prstGeom>
                  </pic:spPr>
                </pic:pic>
              </a:graphicData>
            </a:graphic>
            <wp14:sizeRelH relativeFrom="margin">
              <wp14:pctWidth>0</wp14:pctWidth>
            </wp14:sizeRelH>
            <wp14:sizeRelV relativeFrom="margin">
              <wp14:pctHeight>0</wp14:pctHeight>
            </wp14:sizeRelV>
          </wp:anchor>
        </w:drawing>
      </w:r>
      <w:r w:rsidR="00C81E88" w:rsidRPr="00CD77BC">
        <w:rPr>
          <w:rFonts w:ascii="Arial" w:hAnsi="Arial" w:cs="Arial"/>
          <w:b/>
          <w:sz w:val="32"/>
          <w:szCs w:val="24"/>
        </w:rPr>
        <w:t>Tuberculosis Screeni</w:t>
      </w:r>
      <w:r w:rsidR="00E477EF" w:rsidRPr="00CD77BC">
        <w:rPr>
          <w:rFonts w:ascii="Arial" w:hAnsi="Arial" w:cs="Arial"/>
          <w:b/>
          <w:sz w:val="32"/>
          <w:szCs w:val="24"/>
        </w:rPr>
        <w:t>ng</w:t>
      </w:r>
    </w:p>
    <w:p w14:paraId="4FEE2C7B" w14:textId="19B5D2C7" w:rsidR="00EC4BAD" w:rsidRPr="00CD77BC" w:rsidRDefault="00EC4BAD" w:rsidP="00EC4BAD">
      <w:pPr>
        <w:rPr>
          <w:rFonts w:ascii="Arial" w:hAnsi="Arial" w:cs="Arial"/>
          <w:b/>
          <w:sz w:val="24"/>
          <w:szCs w:val="24"/>
        </w:rPr>
      </w:pPr>
      <w:r w:rsidRPr="00CD77BC">
        <w:rPr>
          <w:rFonts w:ascii="Arial" w:hAnsi="Arial" w:cs="Arial"/>
          <w:b/>
          <w:sz w:val="24"/>
          <w:szCs w:val="24"/>
        </w:rPr>
        <w:t xml:space="preserve">Date Implemented: </w:t>
      </w:r>
    </w:p>
    <w:p w14:paraId="6F63E353" w14:textId="7F5E0BBD" w:rsidR="00EC4BAD" w:rsidRPr="00CD77BC" w:rsidRDefault="00EC4BAD" w:rsidP="00EC4BAD">
      <w:pPr>
        <w:rPr>
          <w:rFonts w:ascii="Arial" w:hAnsi="Arial" w:cs="Arial"/>
          <w:b/>
          <w:sz w:val="24"/>
          <w:szCs w:val="24"/>
        </w:rPr>
      </w:pPr>
      <w:r w:rsidRPr="00CD77BC">
        <w:rPr>
          <w:rFonts w:ascii="Arial" w:hAnsi="Arial" w:cs="Arial"/>
          <w:b/>
          <w:sz w:val="24"/>
          <w:szCs w:val="24"/>
        </w:rPr>
        <w:t xml:space="preserve">Review/Updated Date: </w:t>
      </w:r>
    </w:p>
    <w:p w14:paraId="5D2054CD" w14:textId="4F9B5ECB" w:rsidR="00076145" w:rsidRPr="00CD77BC" w:rsidRDefault="00D30357" w:rsidP="004B6B13">
      <w:pPr>
        <w:rPr>
          <w:rFonts w:ascii="Arial" w:hAnsi="Arial" w:cs="Arial"/>
          <w:b/>
          <w:bCs/>
          <w:sz w:val="24"/>
          <w:szCs w:val="24"/>
          <w:u w:val="single"/>
        </w:rPr>
      </w:pPr>
      <w:r w:rsidRPr="00CD77BC">
        <w:rPr>
          <w:rFonts w:ascii="Arial" w:hAnsi="Arial" w:cs="Arial"/>
          <w:b/>
          <w:bCs/>
          <w:sz w:val="24"/>
          <w:szCs w:val="24"/>
          <w:u w:val="single"/>
        </w:rPr>
        <w:t>Policy</w:t>
      </w:r>
    </w:p>
    <w:p w14:paraId="734112C1" w14:textId="45FBE28C" w:rsidR="00D22812" w:rsidRPr="00CD77BC" w:rsidRDefault="00BE57AB" w:rsidP="004B6B13">
      <w:pPr>
        <w:rPr>
          <w:rFonts w:ascii="Arial" w:hAnsi="Arial" w:cs="Arial"/>
          <w:sz w:val="24"/>
          <w:szCs w:val="24"/>
        </w:rPr>
      </w:pPr>
      <w:r w:rsidRPr="00CD77BC">
        <w:rPr>
          <w:rFonts w:ascii="Arial" w:hAnsi="Arial" w:cs="Arial"/>
          <w:sz w:val="24"/>
          <w:szCs w:val="24"/>
        </w:rPr>
        <w:t xml:space="preserve">Tuberculosis is </w:t>
      </w:r>
      <w:r w:rsidR="00FA35F1" w:rsidRPr="00CD77BC">
        <w:rPr>
          <w:rFonts w:ascii="Arial" w:hAnsi="Arial" w:cs="Arial"/>
          <w:sz w:val="24"/>
          <w:szCs w:val="24"/>
        </w:rPr>
        <w:t xml:space="preserve">the namesake member organism of </w:t>
      </w:r>
      <w:r w:rsidR="00FA35F1" w:rsidRPr="00CD77BC">
        <w:rPr>
          <w:rFonts w:ascii="Arial" w:hAnsi="Arial" w:cs="Arial"/>
          <w:i/>
          <w:iCs/>
          <w:sz w:val="24"/>
          <w:szCs w:val="24"/>
        </w:rPr>
        <w:t>M.</w:t>
      </w:r>
      <w:r w:rsidR="00380845" w:rsidRPr="00CD77BC">
        <w:rPr>
          <w:rFonts w:ascii="Arial" w:hAnsi="Arial" w:cs="Arial"/>
          <w:i/>
          <w:iCs/>
          <w:sz w:val="24"/>
          <w:szCs w:val="24"/>
        </w:rPr>
        <w:t xml:space="preserve"> </w:t>
      </w:r>
      <w:r w:rsidR="00FA35F1" w:rsidRPr="00CD77BC">
        <w:rPr>
          <w:rFonts w:ascii="Arial" w:hAnsi="Arial" w:cs="Arial"/>
          <w:i/>
          <w:iCs/>
          <w:sz w:val="24"/>
          <w:szCs w:val="24"/>
        </w:rPr>
        <w:t xml:space="preserve">tuberculosis </w:t>
      </w:r>
      <w:r w:rsidR="00FA35F1" w:rsidRPr="00CD77BC">
        <w:rPr>
          <w:rFonts w:ascii="Arial" w:hAnsi="Arial" w:cs="Arial"/>
          <w:sz w:val="24"/>
          <w:szCs w:val="24"/>
        </w:rPr>
        <w:t xml:space="preserve">complex and the most common causative infectious agent of </w:t>
      </w:r>
      <w:r w:rsidR="0075598A">
        <w:rPr>
          <w:rFonts w:ascii="Arial" w:hAnsi="Arial" w:cs="Arial"/>
          <w:sz w:val="24"/>
          <w:szCs w:val="24"/>
        </w:rPr>
        <w:t>tuberculosis (</w:t>
      </w:r>
      <w:r w:rsidR="00FA35F1" w:rsidRPr="00CD77BC">
        <w:rPr>
          <w:rFonts w:ascii="Arial" w:hAnsi="Arial" w:cs="Arial"/>
          <w:sz w:val="24"/>
          <w:szCs w:val="24"/>
        </w:rPr>
        <w:t>TB</w:t>
      </w:r>
      <w:r w:rsidR="0075598A">
        <w:rPr>
          <w:rFonts w:ascii="Arial" w:hAnsi="Arial" w:cs="Arial"/>
          <w:sz w:val="24"/>
          <w:szCs w:val="24"/>
        </w:rPr>
        <w:t>)</w:t>
      </w:r>
      <w:r w:rsidR="00FA35F1" w:rsidRPr="00CD77BC">
        <w:rPr>
          <w:rFonts w:ascii="Arial" w:hAnsi="Arial" w:cs="Arial"/>
          <w:sz w:val="24"/>
          <w:szCs w:val="24"/>
        </w:rPr>
        <w:t xml:space="preserve"> disease in humans.  </w:t>
      </w:r>
      <w:r w:rsidRPr="00CD77BC">
        <w:rPr>
          <w:rFonts w:ascii="Arial" w:hAnsi="Arial" w:cs="Arial"/>
          <w:sz w:val="24"/>
          <w:szCs w:val="24"/>
        </w:rPr>
        <w:t xml:space="preserve"> </w:t>
      </w:r>
    </w:p>
    <w:p w14:paraId="2CD454AB" w14:textId="0924A993" w:rsidR="00DC49B2" w:rsidRPr="00CD77BC" w:rsidRDefault="0038271B" w:rsidP="004B6B13">
      <w:pPr>
        <w:rPr>
          <w:rFonts w:ascii="Arial" w:hAnsi="Arial" w:cs="Arial"/>
          <w:sz w:val="24"/>
          <w:szCs w:val="24"/>
        </w:rPr>
      </w:pPr>
      <w:r>
        <w:rPr>
          <w:rFonts w:ascii="Arial" w:hAnsi="Arial" w:cs="Arial"/>
          <w:sz w:val="24"/>
          <w:szCs w:val="24"/>
        </w:rPr>
        <w:t xml:space="preserve">To comply with </w:t>
      </w:r>
      <w:r w:rsidR="003C3C5F">
        <w:rPr>
          <w:rFonts w:ascii="Arial" w:hAnsi="Arial" w:cs="Arial"/>
          <w:sz w:val="24"/>
          <w:szCs w:val="24"/>
        </w:rPr>
        <w:t>rules and prevent transmission of TB disease, the following</w:t>
      </w:r>
      <w:r w:rsidR="00DC49B2" w:rsidRPr="00CD77BC">
        <w:rPr>
          <w:rFonts w:ascii="Arial" w:hAnsi="Arial" w:cs="Arial"/>
          <w:sz w:val="24"/>
          <w:szCs w:val="24"/>
        </w:rPr>
        <w:t xml:space="preserve"> baseline screening, skin testing procedures, risk assessment</w:t>
      </w:r>
      <w:r w:rsidR="00982337" w:rsidRPr="00CD77BC">
        <w:rPr>
          <w:rFonts w:ascii="Arial" w:hAnsi="Arial" w:cs="Arial"/>
          <w:sz w:val="24"/>
          <w:szCs w:val="24"/>
        </w:rPr>
        <w:t>,</w:t>
      </w:r>
      <w:r w:rsidR="00DC49B2" w:rsidRPr="00CD77BC">
        <w:rPr>
          <w:rFonts w:ascii="Arial" w:hAnsi="Arial" w:cs="Arial"/>
          <w:sz w:val="24"/>
          <w:szCs w:val="24"/>
        </w:rPr>
        <w:t xml:space="preserve"> and </w:t>
      </w:r>
      <w:r w:rsidR="003D3B85" w:rsidRPr="00CD77BC">
        <w:rPr>
          <w:rFonts w:ascii="Arial" w:hAnsi="Arial" w:cs="Arial"/>
          <w:sz w:val="24"/>
          <w:szCs w:val="24"/>
        </w:rPr>
        <w:t xml:space="preserve">ongoing surveillance </w:t>
      </w:r>
      <w:r w:rsidR="003C3C5F">
        <w:rPr>
          <w:rFonts w:ascii="Arial" w:hAnsi="Arial" w:cs="Arial"/>
          <w:sz w:val="24"/>
          <w:szCs w:val="24"/>
        </w:rPr>
        <w:t xml:space="preserve">will be implemented </w:t>
      </w:r>
      <w:r w:rsidR="00D05D2B" w:rsidRPr="00CD77BC">
        <w:rPr>
          <w:rFonts w:ascii="Arial" w:hAnsi="Arial" w:cs="Arial"/>
          <w:sz w:val="24"/>
          <w:szCs w:val="24"/>
        </w:rPr>
        <w:t xml:space="preserve">for residents and staff. </w:t>
      </w:r>
    </w:p>
    <w:p w14:paraId="14B8F4C8" w14:textId="057F40E5" w:rsidR="00982337" w:rsidRDefault="003C3C5F" w:rsidP="004B6B13">
      <w:pPr>
        <w:rPr>
          <w:rFonts w:ascii="Arial" w:hAnsi="Arial" w:cs="Arial"/>
          <w:b/>
          <w:bCs/>
          <w:sz w:val="24"/>
          <w:szCs w:val="24"/>
          <w:u w:val="single"/>
        </w:rPr>
      </w:pPr>
      <w:r>
        <w:rPr>
          <w:rFonts w:ascii="Arial" w:hAnsi="Arial" w:cs="Arial"/>
          <w:b/>
          <w:bCs/>
          <w:sz w:val="24"/>
          <w:szCs w:val="24"/>
          <w:u w:val="single"/>
        </w:rPr>
        <w:t>Definitions</w:t>
      </w:r>
    </w:p>
    <w:p w14:paraId="7849EDCF" w14:textId="1DF3532A" w:rsidR="003C3C5F" w:rsidRDefault="0075598A" w:rsidP="004B6B13">
      <w:pPr>
        <w:rPr>
          <w:rFonts w:ascii="Arial" w:hAnsi="Arial" w:cs="Arial"/>
          <w:sz w:val="24"/>
          <w:szCs w:val="24"/>
        </w:rPr>
      </w:pPr>
      <w:r w:rsidRPr="006E73E1">
        <w:rPr>
          <w:rFonts w:ascii="Arial" w:hAnsi="Arial" w:cs="Arial"/>
          <w:b/>
          <w:bCs/>
          <w:sz w:val="24"/>
          <w:szCs w:val="24"/>
        </w:rPr>
        <w:t>Bacille Calmette-Guerin (BCG) Vaccination</w:t>
      </w:r>
      <w:r>
        <w:rPr>
          <w:rFonts w:ascii="Arial" w:hAnsi="Arial" w:cs="Arial"/>
          <w:sz w:val="24"/>
          <w:szCs w:val="24"/>
        </w:rPr>
        <w:t xml:space="preserve"> is a vaccine for TB</w:t>
      </w:r>
      <w:r w:rsidR="00ED0C27">
        <w:rPr>
          <w:rFonts w:ascii="Arial" w:hAnsi="Arial" w:cs="Arial"/>
          <w:sz w:val="24"/>
          <w:szCs w:val="24"/>
        </w:rPr>
        <w:t>. BCG vaccination is used in many countries with a high prevalence of TB to prevent childhood tuberculosis meningitis and miliary disease. BCG vaccination is not generally recommended for use in the United States because of its low risk of infection</w:t>
      </w:r>
      <w:r w:rsidR="003B5E23">
        <w:rPr>
          <w:rFonts w:ascii="Arial" w:hAnsi="Arial" w:cs="Arial"/>
          <w:sz w:val="24"/>
          <w:szCs w:val="24"/>
        </w:rPr>
        <w:t xml:space="preserve">, the variable effectiveness of the vaccine against adult pulmonary TB, and the potential interference with tuberculin skin test (TST) reactivity. </w:t>
      </w:r>
    </w:p>
    <w:p w14:paraId="24F6F912" w14:textId="24F2C681" w:rsidR="00CC3ACF" w:rsidRDefault="00CC3ACF" w:rsidP="004B6B13">
      <w:pPr>
        <w:rPr>
          <w:rFonts w:ascii="Arial" w:hAnsi="Arial" w:cs="Arial"/>
          <w:sz w:val="24"/>
          <w:szCs w:val="24"/>
        </w:rPr>
      </w:pPr>
      <w:r w:rsidRPr="006E73E1">
        <w:rPr>
          <w:rFonts w:ascii="Arial" w:hAnsi="Arial" w:cs="Arial"/>
          <w:b/>
          <w:bCs/>
          <w:sz w:val="24"/>
          <w:szCs w:val="24"/>
        </w:rPr>
        <w:t>Baseline TB Screening</w:t>
      </w:r>
      <w:r>
        <w:rPr>
          <w:rFonts w:ascii="Arial" w:hAnsi="Arial" w:cs="Arial"/>
          <w:sz w:val="24"/>
          <w:szCs w:val="24"/>
        </w:rPr>
        <w:t xml:space="preserve"> is the screening of health care workers (HCWs) of </w:t>
      </w:r>
      <w:r w:rsidR="00A95A8B">
        <w:rPr>
          <w:rFonts w:ascii="Arial" w:hAnsi="Arial" w:cs="Arial"/>
          <w:sz w:val="24"/>
          <w:szCs w:val="24"/>
        </w:rPr>
        <w:t>health care facilities as defined in Iowa Administrative Code 135C</w:t>
      </w:r>
      <w:r>
        <w:rPr>
          <w:rFonts w:ascii="Arial" w:hAnsi="Arial" w:cs="Arial"/>
          <w:sz w:val="24"/>
          <w:szCs w:val="24"/>
        </w:rPr>
        <w:t xml:space="preserve"> or hospitals</w:t>
      </w:r>
      <w:r w:rsidR="00A95A8B">
        <w:rPr>
          <w:rFonts w:ascii="Arial" w:hAnsi="Arial" w:cs="Arial"/>
          <w:sz w:val="24"/>
          <w:szCs w:val="24"/>
        </w:rPr>
        <w:t xml:space="preserve"> at the beginning of employment</w:t>
      </w:r>
      <w:r w:rsidR="002330FB">
        <w:rPr>
          <w:rFonts w:ascii="Arial" w:hAnsi="Arial" w:cs="Arial"/>
          <w:sz w:val="24"/>
          <w:szCs w:val="24"/>
        </w:rPr>
        <w:t xml:space="preserve"> and residents upon admission for latent tuberculosis infection (LTBI) and TB disease. Baseline screening includes a symptom screen for all HCWs and residents, and a two-step TST</w:t>
      </w:r>
      <w:r w:rsidR="00B2439A">
        <w:rPr>
          <w:rFonts w:ascii="Arial" w:hAnsi="Arial" w:cs="Arial"/>
          <w:sz w:val="24"/>
          <w:szCs w:val="24"/>
        </w:rPr>
        <w:t xml:space="preserve"> or single interferon-gamma-release assay (IGRA) for M. tuberculosis for those persons with previous negat</w:t>
      </w:r>
      <w:r w:rsidR="006E73E1">
        <w:rPr>
          <w:rFonts w:ascii="Arial" w:hAnsi="Arial" w:cs="Arial"/>
          <w:sz w:val="24"/>
          <w:szCs w:val="24"/>
        </w:rPr>
        <w:t>i</w:t>
      </w:r>
      <w:r w:rsidR="00B2439A">
        <w:rPr>
          <w:rFonts w:ascii="Arial" w:hAnsi="Arial" w:cs="Arial"/>
          <w:sz w:val="24"/>
          <w:szCs w:val="24"/>
        </w:rPr>
        <w:t>ve results</w:t>
      </w:r>
      <w:r w:rsidR="006E73E1">
        <w:rPr>
          <w:rFonts w:ascii="Arial" w:hAnsi="Arial" w:cs="Arial"/>
          <w:sz w:val="24"/>
          <w:szCs w:val="24"/>
        </w:rPr>
        <w:t xml:space="preserve">. </w:t>
      </w:r>
    </w:p>
    <w:p w14:paraId="1FD0E087" w14:textId="748F9322" w:rsidR="00B41474" w:rsidRDefault="00B41474" w:rsidP="004B6B13">
      <w:pPr>
        <w:rPr>
          <w:rFonts w:ascii="Arial" w:hAnsi="Arial" w:cs="Arial"/>
          <w:sz w:val="24"/>
          <w:szCs w:val="24"/>
        </w:rPr>
      </w:pPr>
      <w:r w:rsidRPr="00B41474">
        <w:rPr>
          <w:rFonts w:ascii="Arial" w:hAnsi="Arial" w:cs="Arial"/>
          <w:b/>
          <w:bCs/>
          <w:sz w:val="24"/>
          <w:szCs w:val="24"/>
        </w:rPr>
        <w:t>Employment</w:t>
      </w:r>
      <w:r>
        <w:rPr>
          <w:rFonts w:ascii="Arial" w:hAnsi="Arial" w:cs="Arial"/>
          <w:sz w:val="24"/>
          <w:szCs w:val="24"/>
        </w:rPr>
        <w:t xml:space="preserve"> or </w:t>
      </w:r>
      <w:r w:rsidRPr="00B41474">
        <w:rPr>
          <w:rFonts w:ascii="Arial" w:hAnsi="Arial" w:cs="Arial"/>
          <w:b/>
          <w:bCs/>
          <w:sz w:val="24"/>
          <w:szCs w:val="24"/>
        </w:rPr>
        <w:t>employed</w:t>
      </w:r>
      <w:r>
        <w:rPr>
          <w:rFonts w:ascii="Arial" w:hAnsi="Arial" w:cs="Arial"/>
          <w:sz w:val="24"/>
          <w:szCs w:val="24"/>
        </w:rPr>
        <w:t xml:space="preserve"> is defined as hired or retained for paid or unpaid work. </w:t>
      </w:r>
    </w:p>
    <w:p w14:paraId="524113DA" w14:textId="303676FA" w:rsidR="00B41474" w:rsidRDefault="00137EEA" w:rsidP="004B6B13">
      <w:pPr>
        <w:rPr>
          <w:rFonts w:ascii="Arial" w:hAnsi="Arial" w:cs="Arial"/>
          <w:sz w:val="24"/>
          <w:szCs w:val="24"/>
        </w:rPr>
      </w:pPr>
      <w:r w:rsidRPr="009B2E82">
        <w:rPr>
          <w:rFonts w:ascii="Arial" w:hAnsi="Arial" w:cs="Arial"/>
          <w:b/>
          <w:bCs/>
          <w:sz w:val="24"/>
          <w:szCs w:val="24"/>
        </w:rPr>
        <w:t>Healthcare Worker (HCW)</w:t>
      </w:r>
      <w:r>
        <w:rPr>
          <w:rFonts w:ascii="Arial" w:hAnsi="Arial" w:cs="Arial"/>
          <w:sz w:val="24"/>
          <w:szCs w:val="24"/>
        </w:rPr>
        <w:t xml:space="preserve"> is any paid or unpaid person (including students) working in a health care facility defined in Iowa Administrative Code 135C</w:t>
      </w:r>
      <w:r w:rsidR="00545674">
        <w:rPr>
          <w:rFonts w:ascii="Arial" w:hAnsi="Arial" w:cs="Arial"/>
          <w:sz w:val="24"/>
          <w:szCs w:val="24"/>
        </w:rPr>
        <w:t xml:space="preserve"> or hospital, including any person who is paid either by the health care provider or hospital or paid by another entity (such as temporary agency, private duty, or independent contractors) or any volunteer who volunteers on a consistent and regularly scheduled basis for five or more hours per week. Specifically excluded from the definition</w:t>
      </w:r>
      <w:r w:rsidR="002E14CA">
        <w:rPr>
          <w:rFonts w:ascii="Arial" w:hAnsi="Arial" w:cs="Arial"/>
          <w:sz w:val="24"/>
          <w:szCs w:val="24"/>
        </w:rPr>
        <w:t xml:space="preserve"> are individuals such as visitors, building contractors, repair workers, or others who are in the building for a very limited purpose. </w:t>
      </w:r>
    </w:p>
    <w:p w14:paraId="242CBFCC" w14:textId="790FEBA5" w:rsidR="00093252" w:rsidRDefault="00093252" w:rsidP="004B6B13">
      <w:pPr>
        <w:rPr>
          <w:rFonts w:ascii="Arial" w:hAnsi="Arial" w:cs="Arial"/>
          <w:sz w:val="24"/>
          <w:szCs w:val="24"/>
        </w:rPr>
      </w:pPr>
      <w:r w:rsidRPr="009B2E82">
        <w:rPr>
          <w:rFonts w:ascii="Arial" w:hAnsi="Arial" w:cs="Arial"/>
          <w:b/>
          <w:bCs/>
          <w:sz w:val="24"/>
          <w:szCs w:val="24"/>
        </w:rPr>
        <w:t xml:space="preserve">Interferon-gamma release assay </w:t>
      </w:r>
      <w:r>
        <w:rPr>
          <w:rFonts w:ascii="Arial" w:hAnsi="Arial" w:cs="Arial"/>
          <w:sz w:val="24"/>
          <w:szCs w:val="24"/>
        </w:rPr>
        <w:t xml:space="preserve">or </w:t>
      </w:r>
      <w:r w:rsidRPr="009B2E82">
        <w:rPr>
          <w:rFonts w:ascii="Arial" w:hAnsi="Arial" w:cs="Arial"/>
          <w:b/>
          <w:bCs/>
          <w:sz w:val="24"/>
          <w:szCs w:val="24"/>
        </w:rPr>
        <w:t>IGRA</w:t>
      </w:r>
      <w:r>
        <w:rPr>
          <w:rFonts w:ascii="Arial" w:hAnsi="Arial" w:cs="Arial"/>
          <w:sz w:val="24"/>
          <w:szCs w:val="24"/>
        </w:rPr>
        <w:t xml:space="preserve"> is a whole-blood test that can aid in diagnosing M. tuberculosis infection. </w:t>
      </w:r>
    </w:p>
    <w:p w14:paraId="7E1161E6" w14:textId="6BD5AE27" w:rsidR="009B2E82" w:rsidRDefault="009B2E82" w:rsidP="004B6B13">
      <w:pPr>
        <w:rPr>
          <w:rFonts w:ascii="Arial" w:hAnsi="Arial" w:cs="Arial"/>
          <w:sz w:val="24"/>
          <w:szCs w:val="24"/>
        </w:rPr>
      </w:pPr>
      <w:r w:rsidRPr="009B2E82">
        <w:rPr>
          <w:rFonts w:ascii="Arial" w:hAnsi="Arial" w:cs="Arial"/>
          <w:b/>
          <w:bCs/>
          <w:sz w:val="24"/>
          <w:szCs w:val="24"/>
        </w:rPr>
        <w:lastRenderedPageBreak/>
        <w:t>Latent TB Infection</w:t>
      </w:r>
      <w:r>
        <w:rPr>
          <w:rFonts w:ascii="Arial" w:hAnsi="Arial" w:cs="Arial"/>
          <w:sz w:val="24"/>
          <w:szCs w:val="24"/>
        </w:rPr>
        <w:t xml:space="preserve"> or </w:t>
      </w:r>
      <w:r w:rsidRPr="009B2E82">
        <w:rPr>
          <w:rFonts w:ascii="Arial" w:hAnsi="Arial" w:cs="Arial"/>
          <w:b/>
          <w:bCs/>
          <w:sz w:val="24"/>
          <w:szCs w:val="24"/>
        </w:rPr>
        <w:t>LTBI</w:t>
      </w:r>
      <w:r>
        <w:rPr>
          <w:rFonts w:ascii="Arial" w:hAnsi="Arial" w:cs="Arial"/>
          <w:sz w:val="24"/>
          <w:szCs w:val="24"/>
        </w:rPr>
        <w:t xml:space="preserve"> is an infection with M. tuberculosis without symptoms or signs of disease having manifested. </w:t>
      </w:r>
    </w:p>
    <w:p w14:paraId="4C7E67B8" w14:textId="2BE6A83B" w:rsidR="00E4682E" w:rsidRDefault="00E4682E" w:rsidP="004B6B13">
      <w:pPr>
        <w:rPr>
          <w:rFonts w:ascii="Arial" w:hAnsi="Arial" w:cs="Arial"/>
          <w:sz w:val="24"/>
          <w:szCs w:val="24"/>
        </w:rPr>
      </w:pPr>
      <w:r w:rsidRPr="005A0ED5">
        <w:rPr>
          <w:rFonts w:ascii="Arial" w:hAnsi="Arial" w:cs="Arial"/>
          <w:b/>
          <w:bCs/>
          <w:sz w:val="24"/>
          <w:szCs w:val="24"/>
        </w:rPr>
        <w:t>Mantoux</w:t>
      </w:r>
      <w:r>
        <w:rPr>
          <w:rFonts w:ascii="Arial" w:hAnsi="Arial" w:cs="Arial"/>
          <w:sz w:val="24"/>
          <w:szCs w:val="24"/>
        </w:rPr>
        <w:t xml:space="preserve"> method is a skin test performed by intradermally injecting 0.1 mL of purified protein derivative (PPD) tuberculin solution into the volar or dorsal surface of the forearm. </w:t>
      </w:r>
    </w:p>
    <w:p w14:paraId="412A6917" w14:textId="234EF611" w:rsidR="00E4682E" w:rsidRDefault="00595A36" w:rsidP="004B6B13">
      <w:pPr>
        <w:rPr>
          <w:rFonts w:ascii="Arial" w:hAnsi="Arial" w:cs="Arial"/>
          <w:sz w:val="24"/>
          <w:szCs w:val="24"/>
        </w:rPr>
      </w:pPr>
      <w:r w:rsidRPr="005A0ED5">
        <w:rPr>
          <w:rFonts w:ascii="Arial" w:hAnsi="Arial" w:cs="Arial"/>
          <w:b/>
          <w:bCs/>
          <w:sz w:val="24"/>
          <w:szCs w:val="24"/>
        </w:rPr>
        <w:t>Serial TB Screening</w:t>
      </w:r>
      <w:r>
        <w:rPr>
          <w:rFonts w:ascii="Arial" w:hAnsi="Arial" w:cs="Arial"/>
          <w:sz w:val="24"/>
          <w:szCs w:val="24"/>
        </w:rPr>
        <w:t xml:space="preserve"> means TB screening </w:t>
      </w:r>
      <w:r w:rsidR="005A0ED5">
        <w:rPr>
          <w:rFonts w:ascii="Arial" w:hAnsi="Arial" w:cs="Arial"/>
          <w:sz w:val="24"/>
          <w:szCs w:val="24"/>
        </w:rPr>
        <w:t>performed</w:t>
      </w:r>
      <w:r>
        <w:rPr>
          <w:rFonts w:ascii="Arial" w:hAnsi="Arial" w:cs="Arial"/>
          <w:sz w:val="24"/>
          <w:szCs w:val="24"/>
        </w:rPr>
        <w:t xml:space="preserve"> at regular intervals following baseline TB screening. Serial TB screening</w:t>
      </w:r>
      <w:r w:rsidR="00AB0AA7">
        <w:rPr>
          <w:rFonts w:ascii="Arial" w:hAnsi="Arial" w:cs="Arial"/>
          <w:sz w:val="24"/>
          <w:szCs w:val="24"/>
        </w:rPr>
        <w:t xml:space="preserve">, also called annual or ongoing TB testing, consists of two components (1) assessing for current symptoms of TB disease and (2) testing for the presence of infection with M. tuberculosis by administering either a TST or single IGRA. </w:t>
      </w:r>
    </w:p>
    <w:p w14:paraId="4FD067FE" w14:textId="6DC3107E" w:rsidR="00AB0AA7" w:rsidRDefault="00AB0AA7" w:rsidP="004B6B13">
      <w:pPr>
        <w:rPr>
          <w:rFonts w:ascii="Arial" w:hAnsi="Arial" w:cs="Arial"/>
          <w:sz w:val="24"/>
          <w:szCs w:val="24"/>
        </w:rPr>
      </w:pPr>
      <w:r w:rsidRPr="005A0ED5">
        <w:rPr>
          <w:rFonts w:ascii="Arial" w:hAnsi="Arial" w:cs="Arial"/>
          <w:b/>
          <w:bCs/>
          <w:sz w:val="24"/>
          <w:szCs w:val="24"/>
        </w:rPr>
        <w:t>Symptom screen</w:t>
      </w:r>
      <w:r>
        <w:rPr>
          <w:rFonts w:ascii="Arial" w:hAnsi="Arial" w:cs="Arial"/>
          <w:sz w:val="24"/>
          <w:szCs w:val="24"/>
        </w:rPr>
        <w:t xml:space="preserve"> is a procedure used during clinical evaluation in which </w:t>
      </w:r>
      <w:r w:rsidR="003F3F36">
        <w:rPr>
          <w:rFonts w:ascii="Arial" w:hAnsi="Arial" w:cs="Arial"/>
          <w:sz w:val="24"/>
          <w:szCs w:val="24"/>
        </w:rPr>
        <w:t>persons are asked if they have experienced any departure from normal in function, appearance, or sensation related to TB disease</w:t>
      </w:r>
      <w:r w:rsidR="005A0ED5">
        <w:rPr>
          <w:rFonts w:ascii="Arial" w:hAnsi="Arial" w:cs="Arial"/>
          <w:sz w:val="24"/>
          <w:szCs w:val="24"/>
        </w:rPr>
        <w:t xml:space="preserve">. </w:t>
      </w:r>
    </w:p>
    <w:p w14:paraId="4413C568" w14:textId="03BE499C" w:rsidR="005A0ED5" w:rsidRDefault="005A0ED5" w:rsidP="004B6B13">
      <w:pPr>
        <w:rPr>
          <w:rFonts w:ascii="Arial" w:hAnsi="Arial" w:cs="Arial"/>
          <w:sz w:val="24"/>
          <w:szCs w:val="24"/>
        </w:rPr>
      </w:pPr>
      <w:r w:rsidRPr="00950FCD">
        <w:rPr>
          <w:rFonts w:ascii="Arial" w:hAnsi="Arial" w:cs="Arial"/>
          <w:b/>
          <w:bCs/>
          <w:sz w:val="24"/>
          <w:szCs w:val="24"/>
        </w:rPr>
        <w:t>TB risk assessment</w:t>
      </w:r>
      <w:r>
        <w:rPr>
          <w:rFonts w:ascii="Arial" w:hAnsi="Arial" w:cs="Arial"/>
          <w:sz w:val="24"/>
          <w:szCs w:val="24"/>
        </w:rPr>
        <w:t xml:space="preserve"> is an initial and ongoing evaluation of the risk for transmission of M. tuberculosis in a particular health care setting. </w:t>
      </w:r>
    </w:p>
    <w:p w14:paraId="0B298750" w14:textId="217B6B92" w:rsidR="00950FCD" w:rsidRDefault="00950FCD" w:rsidP="004B6B13">
      <w:pPr>
        <w:rPr>
          <w:rFonts w:ascii="Arial" w:hAnsi="Arial" w:cs="Arial"/>
          <w:sz w:val="24"/>
          <w:szCs w:val="24"/>
        </w:rPr>
      </w:pPr>
      <w:r w:rsidRPr="00A73A9A">
        <w:rPr>
          <w:rFonts w:ascii="Arial" w:hAnsi="Arial" w:cs="Arial"/>
          <w:b/>
          <w:bCs/>
          <w:sz w:val="24"/>
          <w:szCs w:val="24"/>
        </w:rPr>
        <w:t>Tuberculin skin test</w:t>
      </w:r>
      <w:r>
        <w:rPr>
          <w:rFonts w:ascii="Arial" w:hAnsi="Arial" w:cs="Arial"/>
          <w:sz w:val="24"/>
          <w:szCs w:val="24"/>
        </w:rPr>
        <w:t xml:space="preserve"> or </w:t>
      </w:r>
      <w:r w:rsidRPr="00A73A9A">
        <w:rPr>
          <w:rFonts w:ascii="Arial" w:hAnsi="Arial" w:cs="Arial"/>
          <w:b/>
          <w:bCs/>
          <w:sz w:val="24"/>
          <w:szCs w:val="24"/>
        </w:rPr>
        <w:t>TST</w:t>
      </w:r>
      <w:r>
        <w:rPr>
          <w:rFonts w:ascii="Arial" w:hAnsi="Arial" w:cs="Arial"/>
          <w:sz w:val="24"/>
          <w:szCs w:val="24"/>
        </w:rPr>
        <w:t xml:space="preserve"> is a diagnostic aid for finding M.</w:t>
      </w:r>
      <w:r w:rsidR="00A73A9A">
        <w:rPr>
          <w:rFonts w:ascii="Arial" w:hAnsi="Arial" w:cs="Arial"/>
          <w:sz w:val="24"/>
          <w:szCs w:val="24"/>
        </w:rPr>
        <w:t xml:space="preserve"> </w:t>
      </w:r>
      <w:r>
        <w:rPr>
          <w:rFonts w:ascii="Arial" w:hAnsi="Arial" w:cs="Arial"/>
          <w:sz w:val="24"/>
          <w:szCs w:val="24"/>
        </w:rPr>
        <w:t>tuberculosis infection</w:t>
      </w:r>
      <w:r w:rsidR="00A73A9A">
        <w:rPr>
          <w:rFonts w:ascii="Arial" w:hAnsi="Arial" w:cs="Arial"/>
          <w:sz w:val="24"/>
          <w:szCs w:val="24"/>
        </w:rPr>
        <w:t xml:space="preserve">. The Mantoux method is the recommended method to be used for TST. </w:t>
      </w:r>
    </w:p>
    <w:p w14:paraId="66861D93" w14:textId="54E29D4A" w:rsidR="00310C80" w:rsidRPr="00CD77BC" w:rsidRDefault="00310C80" w:rsidP="004B6B13">
      <w:pPr>
        <w:rPr>
          <w:rFonts w:ascii="Arial" w:hAnsi="Arial" w:cs="Arial"/>
          <w:b/>
          <w:bCs/>
          <w:sz w:val="24"/>
          <w:szCs w:val="24"/>
          <w:u w:val="single"/>
        </w:rPr>
      </w:pPr>
      <w:r w:rsidRPr="00CD77BC">
        <w:rPr>
          <w:rFonts w:ascii="Arial" w:hAnsi="Arial" w:cs="Arial"/>
          <w:b/>
          <w:bCs/>
          <w:sz w:val="24"/>
          <w:szCs w:val="24"/>
          <w:u w:val="single"/>
        </w:rPr>
        <w:t>Procedures</w:t>
      </w:r>
    </w:p>
    <w:p w14:paraId="52EF6942" w14:textId="0AB7694A" w:rsidR="00F85CD4" w:rsidRPr="00CD77BC" w:rsidRDefault="0073190C" w:rsidP="00103435">
      <w:pPr>
        <w:rPr>
          <w:rFonts w:ascii="Arial" w:hAnsi="Arial" w:cs="Arial"/>
          <w:sz w:val="24"/>
          <w:szCs w:val="24"/>
          <w:u w:val="single"/>
        </w:rPr>
      </w:pPr>
      <w:r>
        <w:rPr>
          <w:rFonts w:ascii="Arial" w:hAnsi="Arial" w:cs="Arial"/>
          <w:sz w:val="24"/>
          <w:szCs w:val="24"/>
          <w:u w:val="single"/>
        </w:rPr>
        <w:t>Risk Assessment</w:t>
      </w:r>
    </w:p>
    <w:p w14:paraId="65CF39B8" w14:textId="77777777" w:rsidR="00941AAA" w:rsidRDefault="006D0248" w:rsidP="006D0248">
      <w:pPr>
        <w:pStyle w:val="ListParagraph"/>
        <w:numPr>
          <w:ilvl w:val="0"/>
          <w:numId w:val="35"/>
        </w:numPr>
        <w:rPr>
          <w:rFonts w:ascii="Arial" w:hAnsi="Arial" w:cs="Arial"/>
          <w:sz w:val="24"/>
          <w:szCs w:val="24"/>
        </w:rPr>
      </w:pPr>
      <w:r w:rsidRPr="00CD77BC">
        <w:rPr>
          <w:rFonts w:ascii="Arial" w:hAnsi="Arial" w:cs="Arial"/>
          <w:sz w:val="24"/>
          <w:szCs w:val="24"/>
        </w:rPr>
        <w:t xml:space="preserve">Annually, </w:t>
      </w:r>
      <w:r w:rsidR="00CD25A5" w:rsidRPr="00CD77BC">
        <w:rPr>
          <w:rFonts w:ascii="Arial" w:hAnsi="Arial" w:cs="Arial"/>
          <w:sz w:val="24"/>
          <w:szCs w:val="24"/>
        </w:rPr>
        <w:t xml:space="preserve">the Infection Preventionist or designee will conduct a TB risk assessment, </w:t>
      </w:r>
      <w:r w:rsidR="003B6B16">
        <w:rPr>
          <w:rFonts w:ascii="Arial" w:hAnsi="Arial" w:cs="Arial"/>
          <w:sz w:val="24"/>
          <w:szCs w:val="24"/>
        </w:rPr>
        <w:t xml:space="preserve">to evaluate the risk for transmission, </w:t>
      </w:r>
      <w:r w:rsidR="00941AAA">
        <w:rPr>
          <w:rFonts w:ascii="Arial" w:hAnsi="Arial" w:cs="Arial"/>
          <w:sz w:val="24"/>
          <w:szCs w:val="24"/>
        </w:rPr>
        <w:t xml:space="preserve">regardless of whether a person with suspected or confirmed TB disease is expected to be encountered in the care setting. </w:t>
      </w:r>
    </w:p>
    <w:p w14:paraId="42CC4CAC" w14:textId="77777777" w:rsidR="009C3B27" w:rsidRDefault="00941AAA" w:rsidP="006D0248">
      <w:pPr>
        <w:pStyle w:val="ListParagraph"/>
        <w:numPr>
          <w:ilvl w:val="0"/>
          <w:numId w:val="35"/>
        </w:numPr>
        <w:rPr>
          <w:rFonts w:ascii="Arial" w:hAnsi="Arial" w:cs="Arial"/>
          <w:sz w:val="24"/>
          <w:szCs w:val="24"/>
        </w:rPr>
      </w:pPr>
      <w:r>
        <w:rPr>
          <w:rFonts w:ascii="Arial" w:hAnsi="Arial" w:cs="Arial"/>
          <w:sz w:val="24"/>
          <w:szCs w:val="24"/>
        </w:rPr>
        <w:t>The risk assessment will be used to determine the types of administrative, environmental</w:t>
      </w:r>
      <w:r w:rsidR="00867CC1">
        <w:rPr>
          <w:rFonts w:ascii="Arial" w:hAnsi="Arial" w:cs="Arial"/>
          <w:sz w:val="24"/>
          <w:szCs w:val="24"/>
        </w:rPr>
        <w:t>, and respiratory protection controls needed</w:t>
      </w:r>
      <w:r w:rsidR="002067EE">
        <w:rPr>
          <w:rFonts w:ascii="Arial" w:hAnsi="Arial" w:cs="Arial"/>
          <w:sz w:val="24"/>
          <w:szCs w:val="24"/>
        </w:rPr>
        <w:t xml:space="preserve">, </w:t>
      </w:r>
      <w:r w:rsidR="00867CC1">
        <w:rPr>
          <w:rFonts w:ascii="Arial" w:hAnsi="Arial" w:cs="Arial"/>
          <w:sz w:val="24"/>
          <w:szCs w:val="24"/>
        </w:rPr>
        <w:t>serves as an ongoing evaluation tool of the quality of TB infection control</w:t>
      </w:r>
      <w:r w:rsidR="002067EE">
        <w:rPr>
          <w:rFonts w:ascii="Arial" w:hAnsi="Arial" w:cs="Arial"/>
          <w:sz w:val="24"/>
          <w:szCs w:val="24"/>
        </w:rPr>
        <w:t>, and identifie</w:t>
      </w:r>
      <w:r w:rsidR="009C3B27">
        <w:rPr>
          <w:rFonts w:ascii="Arial" w:hAnsi="Arial" w:cs="Arial"/>
          <w:sz w:val="24"/>
          <w:szCs w:val="24"/>
        </w:rPr>
        <w:t xml:space="preserve">s the need for improvements in infection control measures. </w:t>
      </w:r>
    </w:p>
    <w:p w14:paraId="70D4F008" w14:textId="6497CBFC" w:rsidR="00A50226" w:rsidRDefault="009C3B27" w:rsidP="009C3B27">
      <w:pPr>
        <w:pStyle w:val="ListParagraph"/>
        <w:numPr>
          <w:ilvl w:val="0"/>
          <w:numId w:val="35"/>
        </w:numPr>
        <w:rPr>
          <w:rFonts w:ascii="Arial" w:hAnsi="Arial" w:cs="Arial"/>
          <w:sz w:val="24"/>
          <w:szCs w:val="24"/>
        </w:rPr>
      </w:pPr>
      <w:r>
        <w:rPr>
          <w:rFonts w:ascii="Arial" w:hAnsi="Arial" w:cs="Arial"/>
          <w:sz w:val="24"/>
          <w:szCs w:val="24"/>
        </w:rPr>
        <w:t xml:space="preserve">The risk assessment must include the following: </w:t>
      </w:r>
    </w:p>
    <w:p w14:paraId="6BC98E13" w14:textId="525A4F00" w:rsidR="009C3B27" w:rsidRDefault="005420B3" w:rsidP="005420B3">
      <w:pPr>
        <w:pStyle w:val="ListParagraph"/>
        <w:numPr>
          <w:ilvl w:val="1"/>
          <w:numId w:val="35"/>
        </w:numPr>
        <w:rPr>
          <w:rFonts w:ascii="Arial" w:hAnsi="Arial" w:cs="Arial"/>
          <w:sz w:val="24"/>
          <w:szCs w:val="24"/>
        </w:rPr>
      </w:pPr>
      <w:r>
        <w:rPr>
          <w:rFonts w:ascii="Arial" w:hAnsi="Arial" w:cs="Arial"/>
          <w:sz w:val="24"/>
          <w:szCs w:val="24"/>
        </w:rPr>
        <w:t xml:space="preserve">The number of persons with infectious TB encountered in the facility or hospital that resulted in conducting a contact investigation of exposed HCWs or patients in the previous 12 months. </w:t>
      </w:r>
    </w:p>
    <w:p w14:paraId="5B52872E" w14:textId="0CA68265" w:rsidR="00E903E0" w:rsidRDefault="00E903E0" w:rsidP="00E903E0">
      <w:pPr>
        <w:pStyle w:val="ListParagraph"/>
        <w:numPr>
          <w:ilvl w:val="2"/>
          <w:numId w:val="35"/>
        </w:numPr>
        <w:rPr>
          <w:rFonts w:ascii="Arial" w:hAnsi="Arial" w:cs="Arial"/>
          <w:sz w:val="24"/>
          <w:szCs w:val="24"/>
        </w:rPr>
      </w:pPr>
      <w:r>
        <w:rPr>
          <w:rFonts w:ascii="Arial" w:hAnsi="Arial" w:cs="Arial"/>
          <w:sz w:val="24"/>
          <w:szCs w:val="24"/>
        </w:rPr>
        <w:t xml:space="preserve">TB cases include those who had undiagnosed infectious pulmonary or laryngeal TB while in the care setting during the preceding year. This does not include LTBI (treated or untreated), persons with extrapulmonary TB disease, or persons with pulmonary and laryngeal TB who met criteria for </w:t>
      </w:r>
      <w:proofErr w:type="spellStart"/>
      <w:r>
        <w:rPr>
          <w:rFonts w:ascii="Arial" w:hAnsi="Arial" w:cs="Arial"/>
          <w:sz w:val="24"/>
          <w:szCs w:val="24"/>
        </w:rPr>
        <w:t>noninfectiousness</w:t>
      </w:r>
      <w:proofErr w:type="spellEnd"/>
      <w:r>
        <w:rPr>
          <w:rFonts w:ascii="Arial" w:hAnsi="Arial" w:cs="Arial"/>
          <w:sz w:val="24"/>
          <w:szCs w:val="24"/>
        </w:rPr>
        <w:t xml:space="preserve">. </w:t>
      </w:r>
    </w:p>
    <w:p w14:paraId="209E9F5F" w14:textId="45D6CE97" w:rsidR="005420B3" w:rsidRPr="00B77BF5" w:rsidRDefault="00A30358" w:rsidP="00A30358">
      <w:pPr>
        <w:rPr>
          <w:rFonts w:ascii="Arial" w:hAnsi="Arial" w:cs="Arial"/>
          <w:sz w:val="24"/>
          <w:szCs w:val="24"/>
        </w:rPr>
      </w:pPr>
      <w:r w:rsidRPr="00A30358">
        <w:rPr>
          <w:rFonts w:ascii="Arial" w:hAnsi="Arial" w:cs="Arial"/>
          <w:sz w:val="24"/>
          <w:szCs w:val="24"/>
          <w:u w:val="single"/>
        </w:rPr>
        <w:lastRenderedPageBreak/>
        <w:t xml:space="preserve">Risk Classifications </w:t>
      </w:r>
      <w:r w:rsidR="00B77BF5">
        <w:rPr>
          <w:rFonts w:ascii="Arial" w:hAnsi="Arial" w:cs="Arial"/>
          <w:sz w:val="24"/>
          <w:szCs w:val="24"/>
        </w:rPr>
        <w:t xml:space="preserve">are used </w:t>
      </w:r>
      <w:r w:rsidR="007441B0">
        <w:rPr>
          <w:rFonts w:ascii="Arial" w:hAnsi="Arial" w:cs="Arial"/>
          <w:sz w:val="24"/>
          <w:szCs w:val="24"/>
        </w:rPr>
        <w:t>to determine frequency of serial TB screening. Classifications may change fluidly due to an increase or decrease in the number of TB cases in the preceding year</w:t>
      </w:r>
      <w:r w:rsidR="00A31AC7">
        <w:rPr>
          <w:rFonts w:ascii="Arial" w:hAnsi="Arial" w:cs="Arial"/>
          <w:sz w:val="24"/>
          <w:szCs w:val="24"/>
        </w:rPr>
        <w:t xml:space="preserve"> as outlined below. </w:t>
      </w:r>
    </w:p>
    <w:p w14:paraId="72C46C15" w14:textId="77777777" w:rsidR="00AF4827" w:rsidRDefault="00A31AC7" w:rsidP="00A30358">
      <w:pPr>
        <w:pStyle w:val="ListParagraph"/>
        <w:numPr>
          <w:ilvl w:val="0"/>
          <w:numId w:val="40"/>
        </w:numPr>
        <w:rPr>
          <w:rFonts w:ascii="Arial" w:hAnsi="Arial" w:cs="Arial"/>
          <w:sz w:val="24"/>
          <w:szCs w:val="24"/>
        </w:rPr>
      </w:pPr>
      <w:r>
        <w:rPr>
          <w:rFonts w:ascii="Arial" w:hAnsi="Arial" w:cs="Arial"/>
          <w:sz w:val="24"/>
          <w:szCs w:val="24"/>
        </w:rPr>
        <w:t xml:space="preserve">Low risk includes care settings in which persons with active TB disease are not expected to be encountered and in which exposure to TB is unlikely. </w:t>
      </w:r>
      <w:r w:rsidR="00FC4B8C">
        <w:rPr>
          <w:rFonts w:ascii="Arial" w:hAnsi="Arial" w:cs="Arial"/>
          <w:sz w:val="24"/>
          <w:szCs w:val="24"/>
        </w:rPr>
        <w:t>Low risk includes inpatient settings with</w:t>
      </w:r>
      <w:r w:rsidR="00AF4827">
        <w:rPr>
          <w:rFonts w:ascii="Arial" w:hAnsi="Arial" w:cs="Arial"/>
          <w:sz w:val="24"/>
          <w:szCs w:val="24"/>
        </w:rPr>
        <w:t>:</w:t>
      </w:r>
    </w:p>
    <w:p w14:paraId="7BE466E6" w14:textId="77777777" w:rsidR="00AF4827" w:rsidRDefault="00FC4B8C" w:rsidP="00AF4827">
      <w:pPr>
        <w:pStyle w:val="ListParagraph"/>
        <w:numPr>
          <w:ilvl w:val="1"/>
          <w:numId w:val="40"/>
        </w:numPr>
        <w:rPr>
          <w:rFonts w:ascii="Arial" w:hAnsi="Arial" w:cs="Arial"/>
          <w:sz w:val="24"/>
          <w:szCs w:val="24"/>
        </w:rPr>
      </w:pPr>
      <w:r>
        <w:rPr>
          <w:rFonts w:ascii="Arial" w:hAnsi="Arial" w:cs="Arial"/>
          <w:sz w:val="24"/>
          <w:szCs w:val="24"/>
        </w:rPr>
        <w:t>200 or more beds, if the setting has fewer than six TB patients for the preceding year</w:t>
      </w:r>
      <w:r w:rsidR="00AF4827">
        <w:rPr>
          <w:rFonts w:ascii="Arial" w:hAnsi="Arial" w:cs="Arial"/>
          <w:sz w:val="24"/>
          <w:szCs w:val="24"/>
        </w:rPr>
        <w:t xml:space="preserve">. </w:t>
      </w:r>
    </w:p>
    <w:p w14:paraId="4E6EF7AB" w14:textId="104963F8" w:rsidR="00A30358" w:rsidRPr="00A30358" w:rsidRDefault="00AF4827" w:rsidP="00AF4827">
      <w:pPr>
        <w:pStyle w:val="ListParagraph"/>
        <w:numPr>
          <w:ilvl w:val="1"/>
          <w:numId w:val="40"/>
        </w:numPr>
        <w:rPr>
          <w:rFonts w:ascii="Arial" w:hAnsi="Arial" w:cs="Arial"/>
          <w:sz w:val="24"/>
          <w:szCs w:val="24"/>
        </w:rPr>
      </w:pPr>
      <w:r>
        <w:rPr>
          <w:rFonts w:ascii="Arial" w:hAnsi="Arial" w:cs="Arial"/>
          <w:sz w:val="24"/>
          <w:szCs w:val="24"/>
        </w:rPr>
        <w:t>F</w:t>
      </w:r>
      <w:r w:rsidR="00FC4B8C">
        <w:rPr>
          <w:rFonts w:ascii="Arial" w:hAnsi="Arial" w:cs="Arial"/>
          <w:sz w:val="24"/>
          <w:szCs w:val="24"/>
        </w:rPr>
        <w:t xml:space="preserve">ewer than 200 beds and </w:t>
      </w:r>
      <w:r>
        <w:rPr>
          <w:rFonts w:ascii="Arial" w:hAnsi="Arial" w:cs="Arial"/>
          <w:sz w:val="24"/>
          <w:szCs w:val="24"/>
        </w:rPr>
        <w:t xml:space="preserve">fewer than three TB patients for the preceding year. </w:t>
      </w:r>
    </w:p>
    <w:p w14:paraId="52E9B012" w14:textId="0663877A" w:rsidR="00BF4656" w:rsidRDefault="00AF4827" w:rsidP="006D0248">
      <w:pPr>
        <w:pStyle w:val="ListParagraph"/>
        <w:numPr>
          <w:ilvl w:val="0"/>
          <w:numId w:val="35"/>
        </w:numPr>
        <w:rPr>
          <w:rFonts w:ascii="Arial" w:hAnsi="Arial" w:cs="Arial"/>
          <w:sz w:val="24"/>
          <w:szCs w:val="24"/>
        </w:rPr>
      </w:pPr>
      <w:r>
        <w:rPr>
          <w:rFonts w:ascii="Arial" w:hAnsi="Arial" w:cs="Arial"/>
          <w:sz w:val="24"/>
          <w:szCs w:val="24"/>
        </w:rPr>
        <w:t xml:space="preserve">Medium risk includes care settings in which </w:t>
      </w:r>
      <w:r w:rsidR="00BF4656">
        <w:rPr>
          <w:rFonts w:ascii="Arial" w:hAnsi="Arial" w:cs="Arial"/>
          <w:sz w:val="24"/>
          <w:szCs w:val="24"/>
        </w:rPr>
        <w:t>HCW will or might be exposed to persons with active TB disease or to clinical specimens that might contain M. tuberculosis.</w:t>
      </w:r>
      <w:r w:rsidR="002D06E3">
        <w:rPr>
          <w:rFonts w:ascii="Arial" w:hAnsi="Arial" w:cs="Arial"/>
          <w:sz w:val="24"/>
          <w:szCs w:val="24"/>
        </w:rPr>
        <w:t xml:space="preserve"> Medium risk includes inpatient settings with: </w:t>
      </w:r>
    </w:p>
    <w:p w14:paraId="74121DEA" w14:textId="77777777" w:rsidR="00DF0B47" w:rsidRDefault="00DF0B47" w:rsidP="00BF4656">
      <w:pPr>
        <w:pStyle w:val="ListParagraph"/>
        <w:numPr>
          <w:ilvl w:val="1"/>
          <w:numId w:val="35"/>
        </w:numPr>
        <w:rPr>
          <w:rFonts w:ascii="Arial" w:hAnsi="Arial" w:cs="Arial"/>
          <w:sz w:val="24"/>
          <w:szCs w:val="24"/>
        </w:rPr>
      </w:pPr>
      <w:r>
        <w:rPr>
          <w:rFonts w:ascii="Arial" w:hAnsi="Arial" w:cs="Arial"/>
          <w:sz w:val="24"/>
          <w:szCs w:val="24"/>
        </w:rPr>
        <w:t xml:space="preserve">200 or more beds with six or more TB patients in the preceding year. </w:t>
      </w:r>
    </w:p>
    <w:p w14:paraId="36E0A0EE" w14:textId="10375DFA" w:rsidR="00AF4827" w:rsidRDefault="00DF0B47" w:rsidP="00BF4656">
      <w:pPr>
        <w:pStyle w:val="ListParagraph"/>
        <w:numPr>
          <w:ilvl w:val="1"/>
          <w:numId w:val="35"/>
        </w:numPr>
        <w:rPr>
          <w:rFonts w:ascii="Arial" w:hAnsi="Arial" w:cs="Arial"/>
          <w:sz w:val="24"/>
          <w:szCs w:val="24"/>
        </w:rPr>
      </w:pPr>
      <w:r>
        <w:rPr>
          <w:rFonts w:ascii="Arial" w:hAnsi="Arial" w:cs="Arial"/>
          <w:sz w:val="24"/>
          <w:szCs w:val="24"/>
        </w:rPr>
        <w:t xml:space="preserve">Fewer than 200 beds and </w:t>
      </w:r>
      <w:r w:rsidR="002D06E3">
        <w:rPr>
          <w:rFonts w:ascii="Arial" w:hAnsi="Arial" w:cs="Arial"/>
          <w:sz w:val="24"/>
          <w:szCs w:val="24"/>
        </w:rPr>
        <w:t xml:space="preserve">three or more TB patients in the preceding year. </w:t>
      </w:r>
      <w:r w:rsidR="00BF4656">
        <w:rPr>
          <w:rFonts w:ascii="Arial" w:hAnsi="Arial" w:cs="Arial"/>
          <w:sz w:val="24"/>
          <w:szCs w:val="24"/>
        </w:rPr>
        <w:t xml:space="preserve"> </w:t>
      </w:r>
    </w:p>
    <w:p w14:paraId="050C793D" w14:textId="362F7D24" w:rsidR="00BF4656" w:rsidRDefault="00BF4656" w:rsidP="006D0248">
      <w:pPr>
        <w:pStyle w:val="ListParagraph"/>
        <w:numPr>
          <w:ilvl w:val="0"/>
          <w:numId w:val="35"/>
        </w:numPr>
        <w:rPr>
          <w:rFonts w:ascii="Arial" w:hAnsi="Arial" w:cs="Arial"/>
          <w:sz w:val="24"/>
          <w:szCs w:val="24"/>
        </w:rPr>
      </w:pPr>
      <w:r>
        <w:rPr>
          <w:rFonts w:ascii="Arial" w:hAnsi="Arial" w:cs="Arial"/>
          <w:sz w:val="24"/>
          <w:szCs w:val="24"/>
        </w:rPr>
        <w:t>Potential ongoing transmission</w:t>
      </w:r>
      <w:r w:rsidR="00FD3546">
        <w:rPr>
          <w:rFonts w:ascii="Arial" w:hAnsi="Arial" w:cs="Arial"/>
          <w:sz w:val="24"/>
          <w:szCs w:val="24"/>
        </w:rPr>
        <w:t xml:space="preserve"> includes care settings in which </w:t>
      </w:r>
      <w:r w:rsidR="006C35D3">
        <w:rPr>
          <w:rFonts w:ascii="Arial" w:hAnsi="Arial" w:cs="Arial"/>
          <w:sz w:val="24"/>
          <w:szCs w:val="24"/>
        </w:rPr>
        <w:t xml:space="preserve">evidence of ongoing M. tuberculosis transmission exists. </w:t>
      </w:r>
      <w:r w:rsidR="008F31F4">
        <w:rPr>
          <w:rFonts w:ascii="Arial" w:hAnsi="Arial" w:cs="Arial"/>
          <w:sz w:val="24"/>
          <w:szCs w:val="24"/>
        </w:rPr>
        <w:t xml:space="preserve">Potential ongoing transmission should only be used as a temporary classification that warrants immediate investigation and corrective steps. After a determination that ongoing </w:t>
      </w:r>
      <w:r w:rsidR="00160009">
        <w:rPr>
          <w:rFonts w:ascii="Arial" w:hAnsi="Arial" w:cs="Arial"/>
          <w:sz w:val="24"/>
          <w:szCs w:val="24"/>
        </w:rPr>
        <w:t xml:space="preserve">transmission has ceased, the setting shall be reclassified as medium risk for a minimum of one year. </w:t>
      </w:r>
    </w:p>
    <w:p w14:paraId="3930EB68" w14:textId="4D182915" w:rsidR="00BF5380" w:rsidRPr="00D25333" w:rsidRDefault="00BF5380" w:rsidP="00BF5380">
      <w:pPr>
        <w:rPr>
          <w:rFonts w:ascii="Arial" w:hAnsi="Arial" w:cs="Arial"/>
          <w:sz w:val="24"/>
          <w:szCs w:val="24"/>
          <w:u w:val="single"/>
        </w:rPr>
      </w:pPr>
      <w:r w:rsidRPr="00D25333">
        <w:rPr>
          <w:rFonts w:ascii="Arial" w:hAnsi="Arial" w:cs="Arial"/>
          <w:sz w:val="24"/>
          <w:szCs w:val="24"/>
          <w:u w:val="single"/>
        </w:rPr>
        <w:t>Baseline</w:t>
      </w:r>
      <w:r w:rsidR="00D25333" w:rsidRPr="00D25333">
        <w:rPr>
          <w:rFonts w:ascii="Arial" w:hAnsi="Arial" w:cs="Arial"/>
          <w:sz w:val="24"/>
          <w:szCs w:val="24"/>
          <w:u w:val="single"/>
        </w:rPr>
        <w:t xml:space="preserve"> &amp; Serial</w:t>
      </w:r>
      <w:r w:rsidRPr="00D25333">
        <w:rPr>
          <w:rFonts w:ascii="Arial" w:hAnsi="Arial" w:cs="Arial"/>
          <w:sz w:val="24"/>
          <w:szCs w:val="24"/>
          <w:u w:val="single"/>
        </w:rPr>
        <w:t xml:space="preserve"> Screening for </w:t>
      </w:r>
      <w:r w:rsidRPr="002E1CA0">
        <w:rPr>
          <w:rFonts w:ascii="Arial" w:hAnsi="Arial" w:cs="Arial"/>
          <w:b/>
          <w:bCs/>
          <w:sz w:val="24"/>
          <w:szCs w:val="24"/>
          <w:u w:val="single"/>
        </w:rPr>
        <w:t>HCW:</w:t>
      </w:r>
      <w:r w:rsidRPr="00D25333">
        <w:rPr>
          <w:rFonts w:ascii="Arial" w:hAnsi="Arial" w:cs="Arial"/>
          <w:sz w:val="24"/>
          <w:szCs w:val="24"/>
          <w:u w:val="single"/>
        </w:rPr>
        <w:t xml:space="preserve"> </w:t>
      </w:r>
    </w:p>
    <w:p w14:paraId="5208A7C1" w14:textId="52FCDCE7" w:rsidR="00BF5380" w:rsidRDefault="00BF5380" w:rsidP="00BF5380">
      <w:pPr>
        <w:rPr>
          <w:rFonts w:ascii="Arial" w:hAnsi="Arial" w:cs="Arial"/>
          <w:sz w:val="24"/>
          <w:szCs w:val="24"/>
        </w:rPr>
      </w:pPr>
      <w:r>
        <w:rPr>
          <w:rFonts w:ascii="Arial" w:hAnsi="Arial" w:cs="Arial"/>
          <w:sz w:val="24"/>
          <w:szCs w:val="24"/>
        </w:rPr>
        <w:t xml:space="preserve">All HCW </w:t>
      </w:r>
      <w:r w:rsidR="00D25333">
        <w:rPr>
          <w:rFonts w:ascii="Arial" w:hAnsi="Arial" w:cs="Arial"/>
          <w:sz w:val="24"/>
          <w:szCs w:val="24"/>
        </w:rPr>
        <w:t xml:space="preserve">shall receive </w:t>
      </w:r>
      <w:r w:rsidR="00D25333" w:rsidRPr="00663E51">
        <w:rPr>
          <w:rFonts w:ascii="Arial" w:hAnsi="Arial" w:cs="Arial"/>
          <w:sz w:val="24"/>
          <w:szCs w:val="24"/>
          <w:u w:val="single"/>
        </w:rPr>
        <w:t>baseline TB</w:t>
      </w:r>
      <w:r w:rsidR="00D25333">
        <w:rPr>
          <w:rFonts w:ascii="Arial" w:hAnsi="Arial" w:cs="Arial"/>
          <w:sz w:val="24"/>
          <w:szCs w:val="24"/>
        </w:rPr>
        <w:t xml:space="preserve"> screening upon employment and ongoing as dictated by the risk classification identified in the annual risk assessment. </w:t>
      </w:r>
      <w:r w:rsidR="00DE0A96">
        <w:rPr>
          <w:rFonts w:ascii="Arial" w:hAnsi="Arial" w:cs="Arial"/>
          <w:sz w:val="24"/>
          <w:szCs w:val="24"/>
        </w:rPr>
        <w:t xml:space="preserve">The baseline TB screening consists of two components. </w:t>
      </w:r>
    </w:p>
    <w:p w14:paraId="01DE9CF7" w14:textId="1B05BCCF" w:rsidR="00DE0A96" w:rsidRDefault="00DE0A96" w:rsidP="00DE0A96">
      <w:pPr>
        <w:pStyle w:val="ListParagraph"/>
        <w:numPr>
          <w:ilvl w:val="0"/>
          <w:numId w:val="41"/>
        </w:numPr>
        <w:rPr>
          <w:rFonts w:ascii="Arial" w:hAnsi="Arial" w:cs="Arial"/>
          <w:sz w:val="24"/>
          <w:szCs w:val="24"/>
        </w:rPr>
      </w:pPr>
      <w:r>
        <w:rPr>
          <w:rFonts w:ascii="Arial" w:hAnsi="Arial" w:cs="Arial"/>
          <w:sz w:val="24"/>
          <w:szCs w:val="24"/>
        </w:rPr>
        <w:t>Assessing for current symptoms of active TB disease. This includes a self-evaluation of potential signs and symptoms of possible TB disease</w:t>
      </w:r>
      <w:r w:rsidR="00731AFD">
        <w:rPr>
          <w:rFonts w:ascii="Arial" w:hAnsi="Arial" w:cs="Arial"/>
          <w:sz w:val="24"/>
          <w:szCs w:val="24"/>
        </w:rPr>
        <w:t xml:space="preserve">. </w:t>
      </w:r>
    </w:p>
    <w:p w14:paraId="323189A7" w14:textId="6C1021D8" w:rsidR="00731AFD" w:rsidRDefault="00F77E5B" w:rsidP="00DE0A96">
      <w:pPr>
        <w:pStyle w:val="ListParagraph"/>
        <w:numPr>
          <w:ilvl w:val="0"/>
          <w:numId w:val="41"/>
        </w:numPr>
        <w:rPr>
          <w:rFonts w:ascii="Arial" w:hAnsi="Arial" w:cs="Arial"/>
          <w:sz w:val="24"/>
          <w:szCs w:val="24"/>
        </w:rPr>
      </w:pPr>
      <w:r>
        <w:rPr>
          <w:rFonts w:ascii="Arial" w:hAnsi="Arial" w:cs="Arial"/>
          <w:sz w:val="24"/>
          <w:szCs w:val="24"/>
        </w:rPr>
        <w:t xml:space="preserve">Testing including the use of a two-step TST or single IGRA to screen for infection with M. tuberculosis. </w:t>
      </w:r>
      <w:r w:rsidR="0071631F">
        <w:rPr>
          <w:rFonts w:ascii="Arial" w:hAnsi="Arial" w:cs="Arial"/>
          <w:sz w:val="24"/>
          <w:szCs w:val="24"/>
        </w:rPr>
        <w:t xml:space="preserve">The two-step </w:t>
      </w:r>
      <w:r w:rsidR="009A233B">
        <w:rPr>
          <w:rFonts w:ascii="Arial" w:hAnsi="Arial" w:cs="Arial"/>
          <w:sz w:val="24"/>
          <w:szCs w:val="24"/>
        </w:rPr>
        <w:t xml:space="preserve">process includes administration of </w:t>
      </w:r>
      <w:r w:rsidR="00523009">
        <w:rPr>
          <w:rFonts w:ascii="Arial" w:hAnsi="Arial" w:cs="Arial"/>
          <w:sz w:val="24"/>
          <w:szCs w:val="24"/>
        </w:rPr>
        <w:t xml:space="preserve">the Mantoux testing solution with results read within 48-72 hours of administration and a second TST </w:t>
      </w:r>
      <w:r w:rsidR="00393511">
        <w:rPr>
          <w:rFonts w:ascii="Arial" w:hAnsi="Arial" w:cs="Arial"/>
          <w:sz w:val="24"/>
          <w:szCs w:val="24"/>
        </w:rPr>
        <w:t xml:space="preserve">initiated within one to three weeks after the first TST. </w:t>
      </w:r>
    </w:p>
    <w:p w14:paraId="2FAD88AB" w14:textId="61B84E44" w:rsidR="0098534F" w:rsidRDefault="00393511" w:rsidP="00F77E5B">
      <w:pPr>
        <w:pStyle w:val="ListParagraph"/>
        <w:numPr>
          <w:ilvl w:val="1"/>
          <w:numId w:val="41"/>
        </w:numPr>
        <w:rPr>
          <w:rFonts w:ascii="Arial" w:hAnsi="Arial" w:cs="Arial"/>
          <w:sz w:val="24"/>
          <w:szCs w:val="24"/>
        </w:rPr>
      </w:pPr>
      <w:r>
        <w:rPr>
          <w:rFonts w:ascii="Arial" w:hAnsi="Arial" w:cs="Arial"/>
          <w:sz w:val="24"/>
          <w:szCs w:val="24"/>
        </w:rPr>
        <w:t xml:space="preserve">If the </w:t>
      </w:r>
      <w:r w:rsidR="0050472E">
        <w:rPr>
          <w:rFonts w:ascii="Arial" w:hAnsi="Arial" w:cs="Arial"/>
          <w:sz w:val="24"/>
          <w:szCs w:val="24"/>
        </w:rPr>
        <w:t xml:space="preserve">second step of the TST </w:t>
      </w:r>
      <w:r w:rsidR="00C56961">
        <w:rPr>
          <w:rFonts w:ascii="Arial" w:hAnsi="Arial" w:cs="Arial"/>
          <w:sz w:val="24"/>
          <w:szCs w:val="24"/>
        </w:rPr>
        <w:t xml:space="preserve">is not </w:t>
      </w:r>
      <w:r w:rsidR="003A47EA">
        <w:rPr>
          <w:rFonts w:ascii="Arial" w:hAnsi="Arial" w:cs="Arial"/>
          <w:sz w:val="24"/>
          <w:szCs w:val="24"/>
        </w:rPr>
        <w:t>initiated within 12 months of the first TST being read, the two-step process must be restarted</w:t>
      </w:r>
      <w:r w:rsidR="00546FDA">
        <w:rPr>
          <w:rFonts w:ascii="Arial" w:hAnsi="Arial" w:cs="Arial"/>
          <w:sz w:val="24"/>
          <w:szCs w:val="24"/>
        </w:rPr>
        <w:t xml:space="preserve"> unless the first step is positive. </w:t>
      </w:r>
    </w:p>
    <w:p w14:paraId="4A482001" w14:textId="5DEDA70C" w:rsidR="000B5C53" w:rsidRDefault="002E3C16" w:rsidP="00F77E5B">
      <w:pPr>
        <w:pStyle w:val="ListParagraph"/>
        <w:numPr>
          <w:ilvl w:val="1"/>
          <w:numId w:val="41"/>
        </w:numPr>
        <w:rPr>
          <w:rFonts w:ascii="Arial" w:hAnsi="Arial" w:cs="Arial"/>
          <w:sz w:val="24"/>
          <w:szCs w:val="24"/>
        </w:rPr>
      </w:pPr>
      <w:r>
        <w:rPr>
          <w:rFonts w:ascii="Arial" w:hAnsi="Arial" w:cs="Arial"/>
          <w:sz w:val="24"/>
          <w:szCs w:val="24"/>
        </w:rPr>
        <w:t>HCW</w:t>
      </w:r>
      <w:r w:rsidR="000B5C53">
        <w:rPr>
          <w:rFonts w:ascii="Arial" w:hAnsi="Arial" w:cs="Arial"/>
          <w:sz w:val="24"/>
          <w:szCs w:val="24"/>
        </w:rPr>
        <w:t xml:space="preserve"> with a new positive TST or IGRA shall receive one radiograph result to exclude TB disease. </w:t>
      </w:r>
      <w:r>
        <w:rPr>
          <w:rFonts w:ascii="Arial" w:hAnsi="Arial" w:cs="Arial"/>
          <w:sz w:val="24"/>
          <w:szCs w:val="24"/>
        </w:rPr>
        <w:t>Repeating</w:t>
      </w:r>
      <w:r w:rsidR="000B5C53">
        <w:rPr>
          <w:rFonts w:ascii="Arial" w:hAnsi="Arial" w:cs="Arial"/>
          <w:sz w:val="24"/>
          <w:szCs w:val="24"/>
        </w:rPr>
        <w:t xml:space="preserve"> radiographs </w:t>
      </w:r>
      <w:r>
        <w:rPr>
          <w:rFonts w:ascii="Arial" w:hAnsi="Arial" w:cs="Arial"/>
          <w:sz w:val="24"/>
          <w:szCs w:val="24"/>
        </w:rPr>
        <w:t>is</w:t>
      </w:r>
      <w:r w:rsidR="000B5C53">
        <w:rPr>
          <w:rFonts w:ascii="Arial" w:hAnsi="Arial" w:cs="Arial"/>
          <w:sz w:val="24"/>
          <w:szCs w:val="24"/>
        </w:rPr>
        <w:t xml:space="preserve"> not necessary unless the HCW has signs or symptoms of TB disease or it is recommended by a </w:t>
      </w:r>
      <w:r>
        <w:rPr>
          <w:rFonts w:ascii="Arial" w:hAnsi="Arial" w:cs="Arial"/>
          <w:sz w:val="24"/>
          <w:szCs w:val="24"/>
        </w:rPr>
        <w:t xml:space="preserve">clinician. </w:t>
      </w:r>
    </w:p>
    <w:p w14:paraId="6A5097A2" w14:textId="6A6EEFDC" w:rsidR="00114585" w:rsidRDefault="00114585" w:rsidP="00F77E5B">
      <w:pPr>
        <w:pStyle w:val="ListParagraph"/>
        <w:numPr>
          <w:ilvl w:val="1"/>
          <w:numId w:val="41"/>
        </w:numPr>
        <w:rPr>
          <w:rFonts w:ascii="Arial" w:hAnsi="Arial" w:cs="Arial"/>
          <w:sz w:val="24"/>
          <w:szCs w:val="24"/>
        </w:rPr>
      </w:pPr>
      <w:r>
        <w:rPr>
          <w:rFonts w:ascii="Arial" w:hAnsi="Arial" w:cs="Arial"/>
          <w:sz w:val="24"/>
          <w:szCs w:val="24"/>
        </w:rPr>
        <w:lastRenderedPageBreak/>
        <w:t xml:space="preserve">HCW with documentation of past positive TST or IGRA and documentation of the results of a chest radiograph indicating no active TB disease, dated after the date of the positive test does not need another chest radiograph at the time of hire. </w:t>
      </w:r>
    </w:p>
    <w:p w14:paraId="5CE264B9" w14:textId="00180C5D" w:rsidR="009618C8" w:rsidRDefault="009618C8" w:rsidP="00F77E5B">
      <w:pPr>
        <w:pStyle w:val="ListParagraph"/>
        <w:numPr>
          <w:ilvl w:val="1"/>
          <w:numId w:val="41"/>
        </w:numPr>
        <w:rPr>
          <w:rFonts w:ascii="Arial" w:hAnsi="Arial" w:cs="Arial"/>
          <w:sz w:val="24"/>
          <w:szCs w:val="24"/>
        </w:rPr>
      </w:pPr>
      <w:r>
        <w:rPr>
          <w:rFonts w:ascii="Arial" w:hAnsi="Arial" w:cs="Arial"/>
          <w:sz w:val="24"/>
          <w:szCs w:val="24"/>
        </w:rPr>
        <w:t xml:space="preserve">Testing does not need to be performed if the HCW has a documented history </w:t>
      </w:r>
      <w:r w:rsidR="00B15CBE">
        <w:rPr>
          <w:rFonts w:ascii="Arial" w:hAnsi="Arial" w:cs="Arial"/>
          <w:sz w:val="24"/>
          <w:szCs w:val="24"/>
        </w:rPr>
        <w:t>of TB disease, previously positive</w:t>
      </w:r>
      <w:r w:rsidR="00D82EA7">
        <w:rPr>
          <w:rFonts w:ascii="Arial" w:hAnsi="Arial" w:cs="Arial"/>
          <w:sz w:val="24"/>
          <w:szCs w:val="24"/>
        </w:rPr>
        <w:t xml:space="preserve"> test result for M. tuberculosis, or documentation of completion of treatment for LTBI or TB disease. </w:t>
      </w:r>
      <w:r w:rsidR="003B1BC5">
        <w:rPr>
          <w:rFonts w:ascii="Arial" w:hAnsi="Arial" w:cs="Arial"/>
          <w:sz w:val="24"/>
          <w:szCs w:val="24"/>
        </w:rPr>
        <w:t xml:space="preserve">A symptom screen and documentation </w:t>
      </w:r>
      <w:r w:rsidR="001D4AEE">
        <w:rPr>
          <w:rFonts w:ascii="Arial" w:hAnsi="Arial" w:cs="Arial"/>
          <w:sz w:val="24"/>
          <w:szCs w:val="24"/>
        </w:rPr>
        <w:t xml:space="preserve">of a previously positive TST or IGRA result </w:t>
      </w:r>
      <w:r w:rsidR="0073625C">
        <w:rPr>
          <w:rFonts w:ascii="Arial" w:hAnsi="Arial" w:cs="Arial"/>
          <w:sz w:val="24"/>
          <w:szCs w:val="24"/>
        </w:rPr>
        <w:t xml:space="preserve">can be substituted for baseline screening. </w:t>
      </w:r>
    </w:p>
    <w:p w14:paraId="37832232" w14:textId="65E7C9B8" w:rsidR="004E568D" w:rsidRDefault="004E568D" w:rsidP="00F77E5B">
      <w:pPr>
        <w:pStyle w:val="ListParagraph"/>
        <w:numPr>
          <w:ilvl w:val="1"/>
          <w:numId w:val="41"/>
        </w:numPr>
        <w:rPr>
          <w:rFonts w:ascii="Arial" w:hAnsi="Arial" w:cs="Arial"/>
          <w:sz w:val="24"/>
          <w:szCs w:val="24"/>
        </w:rPr>
      </w:pPr>
      <w:r>
        <w:rPr>
          <w:rFonts w:ascii="Arial" w:hAnsi="Arial" w:cs="Arial"/>
          <w:sz w:val="24"/>
          <w:szCs w:val="24"/>
        </w:rPr>
        <w:t xml:space="preserve">Previous BCG vaccination is not a contraindication to IGRA or TST being completed. </w:t>
      </w:r>
      <w:r w:rsidR="007A2EE1">
        <w:rPr>
          <w:rFonts w:ascii="Arial" w:hAnsi="Arial" w:cs="Arial"/>
          <w:sz w:val="24"/>
          <w:szCs w:val="24"/>
        </w:rPr>
        <w:t xml:space="preserve">HCWs with TST reactions shall be treated similarly to those without a vaccination history. </w:t>
      </w:r>
      <w:r w:rsidR="00E80A66">
        <w:rPr>
          <w:rFonts w:ascii="Arial" w:hAnsi="Arial" w:cs="Arial"/>
          <w:sz w:val="24"/>
          <w:szCs w:val="24"/>
        </w:rPr>
        <w:t xml:space="preserve">Prior BCG vaccination does not cause false-positive IGRA test results. </w:t>
      </w:r>
    </w:p>
    <w:p w14:paraId="1CECEDAB" w14:textId="0E3B5F98" w:rsidR="00663E51" w:rsidRDefault="00663E51" w:rsidP="00663E51">
      <w:pPr>
        <w:rPr>
          <w:rFonts w:ascii="Arial" w:hAnsi="Arial" w:cs="Arial"/>
          <w:sz w:val="24"/>
          <w:szCs w:val="24"/>
        </w:rPr>
      </w:pPr>
      <w:r w:rsidRPr="00F46222">
        <w:rPr>
          <w:rFonts w:ascii="Arial" w:hAnsi="Arial" w:cs="Arial"/>
          <w:sz w:val="24"/>
          <w:szCs w:val="24"/>
          <w:u w:val="single"/>
        </w:rPr>
        <w:t>Serial Screening</w:t>
      </w:r>
      <w:r>
        <w:rPr>
          <w:rFonts w:ascii="Arial" w:hAnsi="Arial" w:cs="Arial"/>
          <w:sz w:val="24"/>
          <w:szCs w:val="24"/>
        </w:rPr>
        <w:t xml:space="preserve"> must be conducted based on the individual settings risk classification identified in their TB risk assessment. </w:t>
      </w:r>
    </w:p>
    <w:p w14:paraId="4D6F7796" w14:textId="57B5BD79" w:rsidR="009F7A22" w:rsidRDefault="009F7A22" w:rsidP="009F7A22">
      <w:pPr>
        <w:pStyle w:val="ListParagraph"/>
        <w:numPr>
          <w:ilvl w:val="0"/>
          <w:numId w:val="42"/>
        </w:numPr>
        <w:rPr>
          <w:rFonts w:ascii="Arial" w:hAnsi="Arial" w:cs="Arial"/>
          <w:sz w:val="24"/>
          <w:szCs w:val="24"/>
        </w:rPr>
      </w:pPr>
      <w:r>
        <w:rPr>
          <w:rFonts w:ascii="Arial" w:hAnsi="Arial" w:cs="Arial"/>
          <w:sz w:val="24"/>
          <w:szCs w:val="24"/>
        </w:rPr>
        <w:t xml:space="preserve">Low risk – after establishing baseline TB screening of HCWs, serial TB screening when the health care setting is classified as a low risk is not necessary. </w:t>
      </w:r>
    </w:p>
    <w:p w14:paraId="403AE339" w14:textId="7E3E029A" w:rsidR="00406764" w:rsidRDefault="00406764" w:rsidP="009F7A22">
      <w:pPr>
        <w:pStyle w:val="ListParagraph"/>
        <w:numPr>
          <w:ilvl w:val="0"/>
          <w:numId w:val="42"/>
        </w:numPr>
        <w:rPr>
          <w:rFonts w:ascii="Arial" w:hAnsi="Arial" w:cs="Arial"/>
          <w:sz w:val="24"/>
          <w:szCs w:val="24"/>
        </w:rPr>
      </w:pPr>
      <w:r>
        <w:rPr>
          <w:rFonts w:ascii="Arial" w:hAnsi="Arial" w:cs="Arial"/>
          <w:sz w:val="24"/>
          <w:szCs w:val="24"/>
        </w:rPr>
        <w:t>Medium risk – After establishing TB screening, health care settings classified as a medium risk shall receive serial TB screening (symptom assessment and TST or IGRA) annually</w:t>
      </w:r>
      <w:r w:rsidR="008C08E3">
        <w:rPr>
          <w:rFonts w:ascii="Arial" w:hAnsi="Arial" w:cs="Arial"/>
          <w:sz w:val="24"/>
          <w:szCs w:val="24"/>
        </w:rPr>
        <w:t xml:space="preserve">, except those with a history of a positive TST or IGRA. </w:t>
      </w:r>
    </w:p>
    <w:p w14:paraId="511A47AD" w14:textId="032B201C" w:rsidR="00673EFA" w:rsidRDefault="00673EFA" w:rsidP="00673EFA">
      <w:pPr>
        <w:pStyle w:val="ListParagraph"/>
        <w:numPr>
          <w:ilvl w:val="1"/>
          <w:numId w:val="42"/>
        </w:numPr>
        <w:rPr>
          <w:rFonts w:ascii="Arial" w:hAnsi="Arial" w:cs="Arial"/>
          <w:sz w:val="24"/>
          <w:szCs w:val="24"/>
        </w:rPr>
      </w:pPr>
      <w:r>
        <w:rPr>
          <w:rFonts w:ascii="Arial" w:hAnsi="Arial" w:cs="Arial"/>
          <w:sz w:val="24"/>
          <w:szCs w:val="24"/>
        </w:rPr>
        <w:t>If a HCW ha</w:t>
      </w:r>
      <w:r w:rsidR="00CA1E1B">
        <w:rPr>
          <w:rFonts w:ascii="Arial" w:hAnsi="Arial" w:cs="Arial"/>
          <w:sz w:val="24"/>
          <w:szCs w:val="24"/>
        </w:rPr>
        <w:t>d a positive baseline TST or IGRA, or a new positive test</w:t>
      </w:r>
      <w:r w:rsidR="006262B8">
        <w:rPr>
          <w:rFonts w:ascii="Arial" w:hAnsi="Arial" w:cs="Arial"/>
          <w:sz w:val="24"/>
          <w:szCs w:val="24"/>
        </w:rPr>
        <w:t xml:space="preserve">, or documentation of previous treatment for LTBI or TB disease, they shall receive one chest radiograph result to exclude TB </w:t>
      </w:r>
      <w:r w:rsidR="001E6771">
        <w:rPr>
          <w:rFonts w:ascii="Arial" w:hAnsi="Arial" w:cs="Arial"/>
          <w:sz w:val="24"/>
          <w:szCs w:val="24"/>
        </w:rPr>
        <w:t xml:space="preserve">disease. </w:t>
      </w:r>
    </w:p>
    <w:p w14:paraId="26445D29" w14:textId="62438AEB" w:rsidR="001E6771" w:rsidRDefault="001E6771" w:rsidP="00673EFA">
      <w:pPr>
        <w:pStyle w:val="ListParagraph"/>
        <w:numPr>
          <w:ilvl w:val="1"/>
          <w:numId w:val="42"/>
        </w:numPr>
        <w:rPr>
          <w:rFonts w:ascii="Arial" w:hAnsi="Arial" w:cs="Arial"/>
          <w:sz w:val="24"/>
          <w:szCs w:val="24"/>
        </w:rPr>
      </w:pPr>
      <w:r>
        <w:rPr>
          <w:rFonts w:ascii="Arial" w:hAnsi="Arial" w:cs="Arial"/>
          <w:sz w:val="24"/>
          <w:szCs w:val="24"/>
        </w:rPr>
        <w:t>Instead of participating in serial testing, HCWs should receive a symptom screen annually</w:t>
      </w:r>
      <w:r w:rsidR="007700DF">
        <w:rPr>
          <w:rFonts w:ascii="Arial" w:hAnsi="Arial" w:cs="Arial"/>
          <w:sz w:val="24"/>
          <w:szCs w:val="24"/>
        </w:rPr>
        <w:t xml:space="preserve"> and educating HCWs about symptoms of TB </w:t>
      </w:r>
      <w:r w:rsidR="000C70A8">
        <w:rPr>
          <w:rFonts w:ascii="Arial" w:hAnsi="Arial" w:cs="Arial"/>
          <w:sz w:val="24"/>
          <w:szCs w:val="24"/>
        </w:rPr>
        <w:t>disease</w:t>
      </w:r>
      <w:r w:rsidR="007700DF">
        <w:rPr>
          <w:rFonts w:ascii="Arial" w:hAnsi="Arial" w:cs="Arial"/>
          <w:sz w:val="24"/>
          <w:szCs w:val="24"/>
        </w:rPr>
        <w:t xml:space="preserve"> and instructing them that any such symptoms shall be reported immediately to occupational health or the infection preventionist. </w:t>
      </w:r>
    </w:p>
    <w:p w14:paraId="4EFBCBB7" w14:textId="0DF3AFC9" w:rsidR="00673EFA" w:rsidRPr="009F7A22" w:rsidRDefault="000C70A8" w:rsidP="009F7A22">
      <w:pPr>
        <w:pStyle w:val="ListParagraph"/>
        <w:numPr>
          <w:ilvl w:val="0"/>
          <w:numId w:val="42"/>
        </w:numPr>
        <w:rPr>
          <w:rFonts w:ascii="Arial" w:hAnsi="Arial" w:cs="Arial"/>
          <w:sz w:val="24"/>
          <w:szCs w:val="24"/>
        </w:rPr>
      </w:pPr>
      <w:r>
        <w:rPr>
          <w:rFonts w:ascii="Arial" w:hAnsi="Arial" w:cs="Arial"/>
          <w:sz w:val="24"/>
          <w:szCs w:val="24"/>
        </w:rPr>
        <w:t>Potential ongoing transmission – HCWs practicing in settings that are classified as potential ongoing transmission shall receive serial TB screening every eight to ten weeks until lapses in infection control have been corrected</w:t>
      </w:r>
      <w:r w:rsidR="00CD6144">
        <w:rPr>
          <w:rFonts w:ascii="Arial" w:hAnsi="Arial" w:cs="Arial"/>
          <w:sz w:val="24"/>
          <w:szCs w:val="24"/>
        </w:rPr>
        <w:t xml:space="preserve"> and </w:t>
      </w:r>
      <w:r w:rsidR="00670D66">
        <w:rPr>
          <w:rFonts w:ascii="Arial" w:hAnsi="Arial" w:cs="Arial"/>
          <w:sz w:val="24"/>
          <w:szCs w:val="24"/>
        </w:rPr>
        <w:t>no additional evidence of ongoing transmission is apparent. HCWs with previous positive TB test results shall only receive symptom screening</w:t>
      </w:r>
      <w:r w:rsidR="008F31F4">
        <w:rPr>
          <w:rFonts w:ascii="Arial" w:hAnsi="Arial" w:cs="Arial"/>
          <w:sz w:val="24"/>
          <w:szCs w:val="24"/>
        </w:rPr>
        <w:t xml:space="preserve">. </w:t>
      </w:r>
    </w:p>
    <w:p w14:paraId="5875A59A" w14:textId="77777777" w:rsidR="00FA143B" w:rsidRDefault="00176BCF" w:rsidP="00663E51">
      <w:pPr>
        <w:rPr>
          <w:rFonts w:ascii="Arial" w:hAnsi="Arial" w:cs="Arial"/>
          <w:sz w:val="24"/>
          <w:szCs w:val="24"/>
        </w:rPr>
      </w:pPr>
      <w:r w:rsidRPr="001C62D8">
        <w:rPr>
          <w:rFonts w:ascii="Arial" w:hAnsi="Arial" w:cs="Arial"/>
          <w:sz w:val="24"/>
          <w:szCs w:val="24"/>
          <w:u w:val="single"/>
        </w:rPr>
        <w:t xml:space="preserve">Screening for HCWs who transfer to other </w:t>
      </w:r>
      <w:r w:rsidR="00EC210F" w:rsidRPr="001C62D8">
        <w:rPr>
          <w:rFonts w:ascii="Arial" w:hAnsi="Arial" w:cs="Arial"/>
          <w:sz w:val="24"/>
          <w:szCs w:val="24"/>
          <w:u w:val="single"/>
        </w:rPr>
        <w:t>health care settings</w:t>
      </w:r>
      <w:r w:rsidR="00EC210F">
        <w:rPr>
          <w:rFonts w:ascii="Arial" w:hAnsi="Arial" w:cs="Arial"/>
          <w:sz w:val="24"/>
          <w:szCs w:val="24"/>
        </w:rPr>
        <w:t xml:space="preserve"> may be exempt</w:t>
      </w:r>
      <w:r w:rsidR="00716372">
        <w:rPr>
          <w:rFonts w:ascii="Arial" w:hAnsi="Arial" w:cs="Arial"/>
          <w:sz w:val="24"/>
          <w:szCs w:val="24"/>
        </w:rPr>
        <w:t xml:space="preserve"> or have reduced</w:t>
      </w:r>
      <w:r w:rsidR="00EC210F">
        <w:rPr>
          <w:rFonts w:ascii="Arial" w:hAnsi="Arial" w:cs="Arial"/>
          <w:sz w:val="24"/>
          <w:szCs w:val="24"/>
        </w:rPr>
        <w:t xml:space="preserve"> baseline TB screening</w:t>
      </w:r>
      <w:r w:rsidR="00BB1AC0">
        <w:rPr>
          <w:rFonts w:ascii="Arial" w:hAnsi="Arial" w:cs="Arial"/>
          <w:sz w:val="24"/>
          <w:szCs w:val="24"/>
        </w:rPr>
        <w:t xml:space="preserve"> if</w:t>
      </w:r>
      <w:r w:rsidR="00FA143B">
        <w:rPr>
          <w:rFonts w:ascii="Arial" w:hAnsi="Arial" w:cs="Arial"/>
          <w:sz w:val="24"/>
          <w:szCs w:val="24"/>
        </w:rPr>
        <w:t xml:space="preserve"> the hiring health care setting can: </w:t>
      </w:r>
    </w:p>
    <w:p w14:paraId="6D99EB83" w14:textId="77777777" w:rsidR="00FA143B" w:rsidRDefault="00FA143B" w:rsidP="00FA143B">
      <w:pPr>
        <w:pStyle w:val="ListParagraph"/>
        <w:numPr>
          <w:ilvl w:val="0"/>
          <w:numId w:val="44"/>
        </w:numPr>
        <w:rPr>
          <w:rFonts w:ascii="Arial" w:hAnsi="Arial" w:cs="Arial"/>
          <w:sz w:val="24"/>
          <w:szCs w:val="24"/>
        </w:rPr>
      </w:pPr>
      <w:r>
        <w:rPr>
          <w:rFonts w:ascii="Arial" w:hAnsi="Arial" w:cs="Arial"/>
          <w:sz w:val="24"/>
          <w:szCs w:val="24"/>
        </w:rPr>
        <w:t xml:space="preserve">Determine the previous employer’s TB risk classification. </w:t>
      </w:r>
    </w:p>
    <w:p w14:paraId="028736BA" w14:textId="77777777" w:rsidR="009C3009" w:rsidRDefault="00FA143B" w:rsidP="00FA143B">
      <w:pPr>
        <w:pStyle w:val="ListParagraph"/>
        <w:numPr>
          <w:ilvl w:val="0"/>
          <w:numId w:val="44"/>
        </w:numPr>
        <w:rPr>
          <w:rFonts w:ascii="Arial" w:hAnsi="Arial" w:cs="Arial"/>
          <w:sz w:val="24"/>
          <w:szCs w:val="24"/>
        </w:rPr>
      </w:pPr>
      <w:r>
        <w:rPr>
          <w:rFonts w:ascii="Arial" w:hAnsi="Arial" w:cs="Arial"/>
          <w:sz w:val="24"/>
          <w:szCs w:val="24"/>
        </w:rPr>
        <w:t>Have documentation of previous baseline TB screening of the new HCW</w:t>
      </w:r>
      <w:r w:rsidR="009C3009">
        <w:rPr>
          <w:rFonts w:ascii="Arial" w:hAnsi="Arial" w:cs="Arial"/>
          <w:sz w:val="24"/>
          <w:szCs w:val="24"/>
        </w:rPr>
        <w:t xml:space="preserve">. </w:t>
      </w:r>
    </w:p>
    <w:p w14:paraId="247C81C3" w14:textId="633A4557" w:rsidR="00663E51" w:rsidRDefault="009C3009" w:rsidP="00FA143B">
      <w:pPr>
        <w:pStyle w:val="ListParagraph"/>
        <w:numPr>
          <w:ilvl w:val="0"/>
          <w:numId w:val="44"/>
        </w:numPr>
        <w:rPr>
          <w:rFonts w:ascii="Arial" w:hAnsi="Arial" w:cs="Arial"/>
          <w:sz w:val="24"/>
          <w:szCs w:val="24"/>
        </w:rPr>
      </w:pPr>
      <w:r>
        <w:rPr>
          <w:rFonts w:ascii="Arial" w:hAnsi="Arial" w:cs="Arial"/>
          <w:sz w:val="24"/>
          <w:szCs w:val="24"/>
        </w:rPr>
        <w:t xml:space="preserve">Identify that the lapse of employment from </w:t>
      </w:r>
      <w:r w:rsidR="003C60F7">
        <w:rPr>
          <w:rFonts w:ascii="Arial" w:hAnsi="Arial" w:cs="Arial"/>
          <w:sz w:val="24"/>
          <w:szCs w:val="24"/>
        </w:rPr>
        <w:t xml:space="preserve">the previous </w:t>
      </w:r>
      <w:r>
        <w:rPr>
          <w:rFonts w:ascii="Arial" w:hAnsi="Arial" w:cs="Arial"/>
          <w:sz w:val="24"/>
          <w:szCs w:val="24"/>
        </w:rPr>
        <w:t xml:space="preserve">health care setting to the </w:t>
      </w:r>
      <w:r w:rsidR="003C60F7">
        <w:rPr>
          <w:rFonts w:ascii="Arial" w:hAnsi="Arial" w:cs="Arial"/>
          <w:sz w:val="24"/>
          <w:szCs w:val="24"/>
        </w:rPr>
        <w:t>new health care setting did not exceed 90 days</w:t>
      </w:r>
      <w:r w:rsidR="001845D2">
        <w:rPr>
          <w:rFonts w:ascii="Arial" w:hAnsi="Arial" w:cs="Arial"/>
          <w:sz w:val="24"/>
          <w:szCs w:val="24"/>
        </w:rPr>
        <w:t xml:space="preserve">. </w:t>
      </w:r>
    </w:p>
    <w:p w14:paraId="31B184B6" w14:textId="0850F68E" w:rsidR="00134739" w:rsidRPr="00134739" w:rsidRDefault="00134739" w:rsidP="00134739">
      <w:pPr>
        <w:rPr>
          <w:rFonts w:ascii="Arial" w:hAnsi="Arial" w:cs="Arial"/>
          <w:sz w:val="24"/>
          <w:szCs w:val="24"/>
        </w:rPr>
      </w:pPr>
      <w:r>
        <w:rPr>
          <w:rFonts w:ascii="Arial" w:hAnsi="Arial" w:cs="Arial"/>
          <w:sz w:val="24"/>
          <w:szCs w:val="24"/>
        </w:rPr>
        <w:lastRenderedPageBreak/>
        <w:t xml:space="preserve">If each of the three points above are met, the hiring health care setting can </w:t>
      </w:r>
      <w:r w:rsidR="00224950">
        <w:rPr>
          <w:rFonts w:ascii="Arial" w:hAnsi="Arial" w:cs="Arial"/>
          <w:sz w:val="24"/>
          <w:szCs w:val="24"/>
        </w:rPr>
        <w:t xml:space="preserve">use the following for baseline TB screening: </w:t>
      </w:r>
    </w:p>
    <w:p w14:paraId="1454C179" w14:textId="4EB77526" w:rsidR="001C62D8" w:rsidRDefault="001C62D8" w:rsidP="001C62D8">
      <w:pPr>
        <w:pStyle w:val="ListParagraph"/>
        <w:numPr>
          <w:ilvl w:val="0"/>
          <w:numId w:val="43"/>
        </w:numPr>
        <w:rPr>
          <w:rFonts w:ascii="Arial" w:hAnsi="Arial" w:cs="Arial"/>
          <w:sz w:val="24"/>
          <w:szCs w:val="24"/>
        </w:rPr>
      </w:pPr>
      <w:r>
        <w:rPr>
          <w:rFonts w:ascii="Arial" w:hAnsi="Arial" w:cs="Arial"/>
          <w:sz w:val="24"/>
          <w:szCs w:val="24"/>
        </w:rPr>
        <w:t xml:space="preserve">Low risk to low risk </w:t>
      </w:r>
      <w:r w:rsidR="00D04EF2">
        <w:rPr>
          <w:rFonts w:ascii="Arial" w:hAnsi="Arial" w:cs="Arial"/>
          <w:sz w:val="24"/>
          <w:szCs w:val="24"/>
        </w:rPr>
        <w:t>–</w:t>
      </w:r>
      <w:r>
        <w:rPr>
          <w:rFonts w:ascii="Arial" w:hAnsi="Arial" w:cs="Arial"/>
          <w:sz w:val="24"/>
          <w:szCs w:val="24"/>
        </w:rPr>
        <w:t xml:space="preserve"> </w:t>
      </w:r>
      <w:r w:rsidR="00224950">
        <w:rPr>
          <w:rFonts w:ascii="Arial" w:hAnsi="Arial" w:cs="Arial"/>
          <w:sz w:val="24"/>
          <w:szCs w:val="24"/>
        </w:rPr>
        <w:t xml:space="preserve">No baseline TB screening necessary. </w:t>
      </w:r>
      <w:r w:rsidR="008A1473">
        <w:rPr>
          <w:rFonts w:ascii="Arial" w:hAnsi="Arial" w:cs="Arial"/>
          <w:sz w:val="24"/>
          <w:szCs w:val="24"/>
        </w:rPr>
        <w:t xml:space="preserve"> </w:t>
      </w:r>
    </w:p>
    <w:p w14:paraId="72B55254" w14:textId="53221B0B" w:rsidR="008A1473" w:rsidRDefault="0058249F" w:rsidP="001C62D8">
      <w:pPr>
        <w:pStyle w:val="ListParagraph"/>
        <w:numPr>
          <w:ilvl w:val="0"/>
          <w:numId w:val="43"/>
        </w:numPr>
        <w:rPr>
          <w:rFonts w:ascii="Arial" w:hAnsi="Arial" w:cs="Arial"/>
          <w:sz w:val="24"/>
          <w:szCs w:val="24"/>
        </w:rPr>
      </w:pPr>
      <w:r>
        <w:rPr>
          <w:rFonts w:ascii="Arial" w:hAnsi="Arial" w:cs="Arial"/>
          <w:sz w:val="24"/>
          <w:szCs w:val="24"/>
        </w:rPr>
        <w:t xml:space="preserve">Low risk to a medium risk – </w:t>
      </w:r>
      <w:r w:rsidR="00224950">
        <w:rPr>
          <w:rFonts w:ascii="Arial" w:hAnsi="Arial" w:cs="Arial"/>
          <w:sz w:val="24"/>
          <w:szCs w:val="24"/>
        </w:rPr>
        <w:t xml:space="preserve">No baseline TB screening necessary. </w:t>
      </w:r>
      <w:r w:rsidR="000611A9">
        <w:rPr>
          <w:rFonts w:ascii="Arial" w:hAnsi="Arial" w:cs="Arial"/>
          <w:sz w:val="24"/>
          <w:szCs w:val="24"/>
        </w:rPr>
        <w:t xml:space="preserve"> </w:t>
      </w:r>
    </w:p>
    <w:p w14:paraId="3834633F" w14:textId="64F45145" w:rsidR="000611A9" w:rsidRDefault="000611A9" w:rsidP="001C62D8">
      <w:pPr>
        <w:pStyle w:val="ListParagraph"/>
        <w:numPr>
          <w:ilvl w:val="0"/>
          <w:numId w:val="43"/>
        </w:numPr>
        <w:rPr>
          <w:rFonts w:ascii="Arial" w:hAnsi="Arial" w:cs="Arial"/>
          <w:sz w:val="24"/>
          <w:szCs w:val="24"/>
        </w:rPr>
      </w:pPr>
      <w:r>
        <w:rPr>
          <w:rFonts w:ascii="Arial" w:hAnsi="Arial" w:cs="Arial"/>
          <w:sz w:val="24"/>
          <w:szCs w:val="24"/>
        </w:rPr>
        <w:t xml:space="preserve">Low or medium risk to potential ongoing transmission – </w:t>
      </w:r>
      <w:r w:rsidR="00224950">
        <w:rPr>
          <w:rFonts w:ascii="Arial" w:hAnsi="Arial" w:cs="Arial"/>
          <w:sz w:val="24"/>
          <w:szCs w:val="24"/>
        </w:rPr>
        <w:t xml:space="preserve">No baseline TB screening necessary. </w:t>
      </w:r>
    </w:p>
    <w:p w14:paraId="7A60032B" w14:textId="5417ECFB" w:rsidR="00FD6269" w:rsidRDefault="00FD6269" w:rsidP="001C62D8">
      <w:pPr>
        <w:pStyle w:val="ListParagraph"/>
        <w:numPr>
          <w:ilvl w:val="0"/>
          <w:numId w:val="43"/>
        </w:numPr>
        <w:rPr>
          <w:rFonts w:ascii="Arial" w:hAnsi="Arial" w:cs="Arial"/>
          <w:sz w:val="24"/>
          <w:szCs w:val="24"/>
        </w:rPr>
      </w:pPr>
      <w:r>
        <w:rPr>
          <w:rFonts w:ascii="Arial" w:hAnsi="Arial" w:cs="Arial"/>
          <w:sz w:val="24"/>
          <w:szCs w:val="24"/>
        </w:rPr>
        <w:t>Medium risk to low risk</w:t>
      </w:r>
      <w:r w:rsidR="00D0087C">
        <w:rPr>
          <w:rFonts w:ascii="Arial" w:hAnsi="Arial" w:cs="Arial"/>
          <w:sz w:val="24"/>
          <w:szCs w:val="24"/>
        </w:rPr>
        <w:t xml:space="preserve"> – </w:t>
      </w:r>
      <w:r w:rsidR="00224950">
        <w:rPr>
          <w:rFonts w:ascii="Arial" w:hAnsi="Arial" w:cs="Arial"/>
          <w:sz w:val="24"/>
          <w:szCs w:val="24"/>
        </w:rPr>
        <w:t xml:space="preserve">Complete a new symptom screen and one TST or IGRA. </w:t>
      </w:r>
    </w:p>
    <w:p w14:paraId="31E29161" w14:textId="22CDC3B3" w:rsidR="00057257" w:rsidRDefault="00057257" w:rsidP="001C62D8">
      <w:pPr>
        <w:pStyle w:val="ListParagraph"/>
        <w:numPr>
          <w:ilvl w:val="0"/>
          <w:numId w:val="43"/>
        </w:numPr>
        <w:rPr>
          <w:rFonts w:ascii="Arial" w:hAnsi="Arial" w:cs="Arial"/>
          <w:sz w:val="24"/>
          <w:szCs w:val="24"/>
        </w:rPr>
      </w:pPr>
      <w:r>
        <w:rPr>
          <w:rFonts w:ascii="Arial" w:hAnsi="Arial" w:cs="Arial"/>
          <w:sz w:val="24"/>
          <w:szCs w:val="24"/>
        </w:rPr>
        <w:t xml:space="preserve">Potential ongoing transmission to low or medium risk </w:t>
      </w:r>
      <w:r w:rsidR="00313836">
        <w:rPr>
          <w:rFonts w:ascii="Arial" w:hAnsi="Arial" w:cs="Arial"/>
          <w:sz w:val="24"/>
          <w:szCs w:val="24"/>
        </w:rPr>
        <w:t>–</w:t>
      </w:r>
      <w:r>
        <w:rPr>
          <w:rFonts w:ascii="Arial" w:hAnsi="Arial" w:cs="Arial"/>
          <w:sz w:val="24"/>
          <w:szCs w:val="24"/>
        </w:rPr>
        <w:t xml:space="preserve"> </w:t>
      </w:r>
      <w:r w:rsidR="009D7286">
        <w:rPr>
          <w:rFonts w:ascii="Arial" w:hAnsi="Arial" w:cs="Arial"/>
          <w:sz w:val="24"/>
          <w:szCs w:val="24"/>
        </w:rPr>
        <w:t>Complete a new symptom screen and one TST or IGRA</w:t>
      </w:r>
    </w:p>
    <w:p w14:paraId="07CC30EB" w14:textId="77777777" w:rsidR="00134739" w:rsidRPr="00134739" w:rsidRDefault="00134739" w:rsidP="00134739">
      <w:pPr>
        <w:rPr>
          <w:rFonts w:ascii="Arial" w:hAnsi="Arial" w:cs="Arial"/>
          <w:sz w:val="24"/>
          <w:szCs w:val="24"/>
        </w:rPr>
      </w:pPr>
      <w:r w:rsidRPr="00134739">
        <w:rPr>
          <w:rFonts w:ascii="Arial" w:hAnsi="Arial" w:cs="Arial"/>
          <w:sz w:val="24"/>
          <w:szCs w:val="24"/>
        </w:rPr>
        <w:t xml:space="preserve">Regardless of risk classification, if the lapse in employment exceeds 90 days, baseline TB screening must be completed upon hire. </w:t>
      </w:r>
    </w:p>
    <w:p w14:paraId="3E400A0C" w14:textId="7A109838" w:rsidR="007C4659" w:rsidRPr="007C4659" w:rsidRDefault="007C4659" w:rsidP="00134739">
      <w:pPr>
        <w:rPr>
          <w:rFonts w:ascii="Arial" w:hAnsi="Arial" w:cs="Arial"/>
          <w:b/>
          <w:bCs/>
          <w:sz w:val="24"/>
          <w:szCs w:val="24"/>
          <w:u w:val="single"/>
        </w:rPr>
      </w:pPr>
      <w:r w:rsidRPr="007C4659">
        <w:rPr>
          <w:rFonts w:ascii="Arial" w:hAnsi="Arial" w:cs="Arial"/>
          <w:sz w:val="24"/>
          <w:szCs w:val="24"/>
          <w:u w:val="single"/>
        </w:rPr>
        <w:t xml:space="preserve">Baseline &amp; Serial Screening for </w:t>
      </w:r>
      <w:r w:rsidRPr="007C4659">
        <w:rPr>
          <w:rFonts w:ascii="Arial" w:hAnsi="Arial" w:cs="Arial"/>
          <w:b/>
          <w:bCs/>
          <w:sz w:val="24"/>
          <w:szCs w:val="24"/>
          <w:u w:val="single"/>
        </w:rPr>
        <w:t>Residents</w:t>
      </w:r>
    </w:p>
    <w:p w14:paraId="21639391" w14:textId="299170C3" w:rsidR="00E04FDB" w:rsidRDefault="00880F26" w:rsidP="008F7650">
      <w:pPr>
        <w:rPr>
          <w:rFonts w:ascii="Arial" w:hAnsi="Arial" w:cs="Arial"/>
          <w:sz w:val="24"/>
          <w:szCs w:val="24"/>
        </w:rPr>
      </w:pPr>
      <w:r w:rsidRPr="00633F9D">
        <w:rPr>
          <w:rFonts w:ascii="Arial" w:hAnsi="Arial" w:cs="Arial"/>
          <w:sz w:val="24"/>
          <w:szCs w:val="24"/>
          <w:u w:val="single"/>
        </w:rPr>
        <w:t>Baseline</w:t>
      </w:r>
      <w:r>
        <w:rPr>
          <w:rFonts w:ascii="Arial" w:hAnsi="Arial" w:cs="Arial"/>
          <w:sz w:val="24"/>
          <w:szCs w:val="24"/>
        </w:rPr>
        <w:t xml:space="preserve"> TB screening for residents</w:t>
      </w:r>
      <w:r w:rsidR="00963E42">
        <w:rPr>
          <w:rFonts w:ascii="Arial" w:hAnsi="Arial" w:cs="Arial"/>
          <w:sz w:val="24"/>
          <w:szCs w:val="24"/>
        </w:rPr>
        <w:t xml:space="preserve"> consists of two components</w:t>
      </w:r>
      <w:r w:rsidR="002A3178">
        <w:rPr>
          <w:rFonts w:ascii="Arial" w:hAnsi="Arial" w:cs="Arial"/>
          <w:sz w:val="24"/>
          <w:szCs w:val="24"/>
        </w:rPr>
        <w:t xml:space="preserve">: </w:t>
      </w:r>
    </w:p>
    <w:p w14:paraId="48953A8F" w14:textId="483A71BB" w:rsidR="002A3178" w:rsidRDefault="002D64F5" w:rsidP="002A3178">
      <w:pPr>
        <w:pStyle w:val="ListParagraph"/>
        <w:numPr>
          <w:ilvl w:val="0"/>
          <w:numId w:val="45"/>
        </w:numPr>
        <w:rPr>
          <w:rFonts w:ascii="Arial" w:hAnsi="Arial" w:cs="Arial"/>
          <w:sz w:val="24"/>
          <w:szCs w:val="24"/>
        </w:rPr>
      </w:pPr>
      <w:r>
        <w:rPr>
          <w:rFonts w:ascii="Arial" w:hAnsi="Arial" w:cs="Arial"/>
          <w:sz w:val="24"/>
          <w:szCs w:val="24"/>
        </w:rPr>
        <w:t xml:space="preserve">Assessing for current symptoms of active TB disease. </w:t>
      </w:r>
      <w:r w:rsidR="006D0C60">
        <w:rPr>
          <w:rFonts w:ascii="Arial" w:hAnsi="Arial" w:cs="Arial"/>
          <w:sz w:val="24"/>
          <w:szCs w:val="24"/>
        </w:rPr>
        <w:t xml:space="preserve">This </w:t>
      </w:r>
      <w:r w:rsidR="00871824">
        <w:rPr>
          <w:rFonts w:ascii="Arial" w:hAnsi="Arial" w:cs="Arial"/>
          <w:sz w:val="24"/>
          <w:szCs w:val="24"/>
        </w:rPr>
        <w:t>may</w:t>
      </w:r>
      <w:r w:rsidR="006D0C60">
        <w:rPr>
          <w:rFonts w:ascii="Arial" w:hAnsi="Arial" w:cs="Arial"/>
          <w:sz w:val="24"/>
          <w:szCs w:val="24"/>
        </w:rPr>
        <w:t xml:space="preserve"> be incorporated into a</w:t>
      </w:r>
      <w:r w:rsidR="007F1E39">
        <w:rPr>
          <w:rFonts w:ascii="Arial" w:hAnsi="Arial" w:cs="Arial"/>
          <w:sz w:val="24"/>
          <w:szCs w:val="24"/>
        </w:rPr>
        <w:t xml:space="preserve">n admission assessment, as long as the admission assessment includes documentation of negative symptoms consistent with TB disease. </w:t>
      </w:r>
    </w:p>
    <w:p w14:paraId="364A4A8D" w14:textId="04238E36" w:rsidR="007F1E39" w:rsidRDefault="00871824" w:rsidP="002A3178">
      <w:pPr>
        <w:pStyle w:val="ListParagraph"/>
        <w:numPr>
          <w:ilvl w:val="0"/>
          <w:numId w:val="45"/>
        </w:numPr>
        <w:rPr>
          <w:rFonts w:ascii="Arial" w:hAnsi="Arial" w:cs="Arial"/>
          <w:sz w:val="24"/>
          <w:szCs w:val="24"/>
        </w:rPr>
      </w:pPr>
      <w:r>
        <w:rPr>
          <w:rFonts w:ascii="Arial" w:hAnsi="Arial" w:cs="Arial"/>
          <w:sz w:val="24"/>
          <w:szCs w:val="24"/>
        </w:rPr>
        <w:t>Using a two-step TST or single IGRA to screen for infection of M. tuberculosis. If the first of two TST was negative, the second</w:t>
      </w:r>
      <w:r w:rsidR="00D47533">
        <w:rPr>
          <w:rFonts w:ascii="Arial" w:hAnsi="Arial" w:cs="Arial"/>
          <w:sz w:val="24"/>
          <w:szCs w:val="24"/>
        </w:rPr>
        <w:t xml:space="preserve"> is recommended to be completed within one to three weeks after the first TST was read. However, if the second is initiated more than 12 months after the first was read, baseline TB screening must be repeated. </w:t>
      </w:r>
      <w:r w:rsidR="00636204">
        <w:rPr>
          <w:rFonts w:ascii="Arial" w:hAnsi="Arial" w:cs="Arial"/>
          <w:sz w:val="24"/>
          <w:szCs w:val="24"/>
        </w:rPr>
        <w:t xml:space="preserve">If the first of two TST was positive, the second TST does not need to be completed. </w:t>
      </w:r>
    </w:p>
    <w:p w14:paraId="2D22AD7B" w14:textId="24C0427A" w:rsidR="00AC2939" w:rsidRDefault="00AC2939" w:rsidP="00AC2939">
      <w:pPr>
        <w:rPr>
          <w:rFonts w:ascii="Arial" w:hAnsi="Arial" w:cs="Arial"/>
          <w:sz w:val="24"/>
          <w:szCs w:val="24"/>
        </w:rPr>
      </w:pPr>
      <w:r>
        <w:rPr>
          <w:rFonts w:ascii="Arial" w:hAnsi="Arial" w:cs="Arial"/>
          <w:sz w:val="24"/>
          <w:szCs w:val="24"/>
        </w:rPr>
        <w:t>Upon admission, baseline TB screening must be initiated within 72 hours</w:t>
      </w:r>
      <w:r w:rsidR="00A71A6F">
        <w:rPr>
          <w:rFonts w:ascii="Arial" w:hAnsi="Arial" w:cs="Arial"/>
          <w:sz w:val="24"/>
          <w:szCs w:val="24"/>
        </w:rPr>
        <w:t xml:space="preserve"> unless there is documentation that baseline TB screening was completed within 90 days prior to the resident’s admission. </w:t>
      </w:r>
    </w:p>
    <w:p w14:paraId="6D2063CA" w14:textId="08556289" w:rsidR="0026382B" w:rsidRDefault="00B460AC" w:rsidP="00AC2939">
      <w:pPr>
        <w:rPr>
          <w:rFonts w:ascii="Arial" w:hAnsi="Arial" w:cs="Arial"/>
          <w:sz w:val="24"/>
          <w:szCs w:val="24"/>
        </w:rPr>
      </w:pPr>
      <w:r>
        <w:rPr>
          <w:rFonts w:ascii="Arial" w:hAnsi="Arial" w:cs="Arial"/>
          <w:sz w:val="24"/>
          <w:szCs w:val="24"/>
        </w:rPr>
        <w:t xml:space="preserve">A resident with a new positive test result shall receive one chest radiograph to exclude TB disease. </w:t>
      </w:r>
      <w:r w:rsidR="00BF5D47">
        <w:rPr>
          <w:rFonts w:ascii="Arial" w:hAnsi="Arial" w:cs="Arial"/>
          <w:sz w:val="24"/>
          <w:szCs w:val="24"/>
        </w:rPr>
        <w:t>If the resident previously had a positive test result, documentation of a chest radiograph after the date of the positive test indicating there is no active TB is sufficien</w:t>
      </w:r>
      <w:r w:rsidR="004E4B73">
        <w:rPr>
          <w:rFonts w:ascii="Arial" w:hAnsi="Arial" w:cs="Arial"/>
          <w:sz w:val="24"/>
          <w:szCs w:val="24"/>
        </w:rPr>
        <w:t xml:space="preserve">t and another chest radiograph upon admission is not necessary. </w:t>
      </w:r>
    </w:p>
    <w:p w14:paraId="5FD7C586" w14:textId="6BC82746" w:rsidR="00220653" w:rsidRDefault="00305D45" w:rsidP="00AC2939">
      <w:pPr>
        <w:rPr>
          <w:rFonts w:ascii="Arial" w:hAnsi="Arial" w:cs="Arial"/>
          <w:sz w:val="24"/>
          <w:szCs w:val="24"/>
        </w:rPr>
      </w:pPr>
      <w:r>
        <w:rPr>
          <w:rFonts w:ascii="Arial" w:hAnsi="Arial" w:cs="Arial"/>
          <w:sz w:val="24"/>
          <w:szCs w:val="24"/>
        </w:rPr>
        <w:t xml:space="preserve">TST or IGRA tests do not need to be performed for residents with a documented history of TB disease, previous positive results, or completion of treatment for LTBI or TB disease. </w:t>
      </w:r>
      <w:r w:rsidR="00615B19">
        <w:rPr>
          <w:rFonts w:ascii="Arial" w:hAnsi="Arial" w:cs="Arial"/>
          <w:sz w:val="24"/>
          <w:szCs w:val="24"/>
        </w:rPr>
        <w:t>Documentation of previously positive test results</w:t>
      </w:r>
      <w:r w:rsidR="00633F9D">
        <w:rPr>
          <w:rFonts w:ascii="Arial" w:hAnsi="Arial" w:cs="Arial"/>
          <w:sz w:val="24"/>
          <w:szCs w:val="24"/>
        </w:rPr>
        <w:t xml:space="preserve"> can be substituted for baseline TST or IGRA tests. </w:t>
      </w:r>
    </w:p>
    <w:p w14:paraId="685078AB" w14:textId="76B1FAF0" w:rsidR="00633F9D" w:rsidRPr="00AC2939" w:rsidRDefault="00633F9D" w:rsidP="00AC2939">
      <w:pPr>
        <w:rPr>
          <w:rFonts w:ascii="Arial" w:hAnsi="Arial" w:cs="Arial"/>
          <w:sz w:val="24"/>
          <w:szCs w:val="24"/>
        </w:rPr>
      </w:pPr>
      <w:r w:rsidRPr="00D414B7">
        <w:rPr>
          <w:rFonts w:ascii="Arial" w:hAnsi="Arial" w:cs="Arial"/>
          <w:sz w:val="24"/>
          <w:szCs w:val="24"/>
          <w:u w:val="single"/>
        </w:rPr>
        <w:t xml:space="preserve">Serial </w:t>
      </w:r>
      <w:r w:rsidR="00D414B7">
        <w:rPr>
          <w:rFonts w:ascii="Arial" w:hAnsi="Arial" w:cs="Arial"/>
          <w:sz w:val="24"/>
          <w:szCs w:val="24"/>
          <w:u w:val="single"/>
        </w:rPr>
        <w:t>screenin</w:t>
      </w:r>
      <w:r w:rsidRPr="00D414B7">
        <w:rPr>
          <w:rFonts w:ascii="Arial" w:hAnsi="Arial" w:cs="Arial"/>
          <w:sz w:val="24"/>
          <w:szCs w:val="24"/>
          <w:u w:val="single"/>
        </w:rPr>
        <w:t>g</w:t>
      </w:r>
      <w:r>
        <w:rPr>
          <w:rFonts w:ascii="Arial" w:hAnsi="Arial" w:cs="Arial"/>
          <w:sz w:val="24"/>
          <w:szCs w:val="24"/>
        </w:rPr>
        <w:t xml:space="preserve"> for residents is not recommended. </w:t>
      </w:r>
    </w:p>
    <w:p w14:paraId="0BD3B6B9" w14:textId="63456431" w:rsidR="00EB73D4" w:rsidRPr="003225FD" w:rsidRDefault="00D414B7" w:rsidP="008F7650">
      <w:pPr>
        <w:rPr>
          <w:rFonts w:ascii="Arial" w:hAnsi="Arial" w:cs="Arial"/>
          <w:sz w:val="24"/>
          <w:szCs w:val="24"/>
        </w:rPr>
      </w:pPr>
      <w:r w:rsidRPr="004F04DE">
        <w:rPr>
          <w:rFonts w:ascii="Arial" w:hAnsi="Arial" w:cs="Arial"/>
          <w:sz w:val="24"/>
          <w:szCs w:val="24"/>
          <w:u w:val="single"/>
        </w:rPr>
        <w:lastRenderedPageBreak/>
        <w:t>HCW Completing</w:t>
      </w:r>
      <w:r w:rsidR="004F04DE" w:rsidRPr="004F04DE">
        <w:rPr>
          <w:rFonts w:ascii="Arial" w:hAnsi="Arial" w:cs="Arial"/>
          <w:sz w:val="24"/>
          <w:szCs w:val="24"/>
          <w:u w:val="single"/>
        </w:rPr>
        <w:t xml:space="preserve"> TB Screening</w:t>
      </w:r>
      <w:r w:rsidR="003225FD">
        <w:rPr>
          <w:rFonts w:ascii="Arial" w:hAnsi="Arial" w:cs="Arial"/>
          <w:sz w:val="24"/>
          <w:szCs w:val="24"/>
          <w:u w:val="single"/>
        </w:rPr>
        <w:t xml:space="preserve"> </w:t>
      </w:r>
      <w:r w:rsidR="003225FD">
        <w:rPr>
          <w:rFonts w:ascii="Arial" w:hAnsi="Arial" w:cs="Arial"/>
          <w:sz w:val="24"/>
          <w:szCs w:val="24"/>
        </w:rPr>
        <w:t xml:space="preserve">includes any nurse licensed in Iowa and has been properly trained </w:t>
      </w:r>
      <w:r w:rsidR="00B77602">
        <w:rPr>
          <w:rFonts w:ascii="Arial" w:hAnsi="Arial" w:cs="Arial"/>
          <w:sz w:val="24"/>
          <w:szCs w:val="24"/>
        </w:rPr>
        <w:t xml:space="preserve">to screen for TB and perform TB testing may screen for TB and perform TB testing. </w:t>
      </w:r>
    </w:p>
    <w:p w14:paraId="59F4A78E" w14:textId="19CCD678" w:rsidR="00EB73D4" w:rsidRPr="00CD77BC" w:rsidRDefault="00EB73D4" w:rsidP="008F7650">
      <w:pPr>
        <w:rPr>
          <w:rFonts w:ascii="Arial" w:hAnsi="Arial" w:cs="Arial"/>
          <w:b/>
          <w:bCs/>
          <w:sz w:val="24"/>
          <w:szCs w:val="24"/>
          <w:u w:val="single"/>
        </w:rPr>
      </w:pPr>
    </w:p>
    <w:p w14:paraId="624C71F0" w14:textId="77777777" w:rsidR="00EB73D4" w:rsidRPr="00CD77BC" w:rsidRDefault="00EB73D4" w:rsidP="008F7650">
      <w:pPr>
        <w:rPr>
          <w:rFonts w:ascii="Arial" w:hAnsi="Arial" w:cs="Arial"/>
          <w:b/>
          <w:bCs/>
          <w:sz w:val="24"/>
          <w:szCs w:val="24"/>
          <w:u w:val="single"/>
        </w:rPr>
      </w:pPr>
    </w:p>
    <w:p w14:paraId="25182DF7" w14:textId="5A1E45D9" w:rsidR="007C011D" w:rsidRPr="00CD77BC" w:rsidRDefault="007C011D" w:rsidP="008F7650">
      <w:pPr>
        <w:rPr>
          <w:rFonts w:ascii="Arial" w:hAnsi="Arial" w:cs="Arial"/>
          <w:b/>
          <w:bCs/>
          <w:u w:val="single"/>
        </w:rPr>
      </w:pPr>
      <w:r w:rsidRPr="00CD77BC">
        <w:rPr>
          <w:rFonts w:ascii="Arial" w:hAnsi="Arial" w:cs="Arial"/>
          <w:b/>
          <w:bCs/>
          <w:sz w:val="24"/>
          <w:szCs w:val="24"/>
          <w:u w:val="single"/>
        </w:rPr>
        <w:t>Re</w:t>
      </w:r>
      <w:r w:rsidR="00CD77BC" w:rsidRPr="00CD77BC">
        <w:rPr>
          <w:rFonts w:ascii="Arial" w:hAnsi="Arial" w:cs="Arial"/>
          <w:b/>
          <w:bCs/>
          <w:sz w:val="24"/>
          <w:szCs w:val="24"/>
          <w:u w:val="single"/>
        </w:rPr>
        <w:t>ferences</w:t>
      </w:r>
    </w:p>
    <w:p w14:paraId="2E9B37EB" w14:textId="70775071" w:rsidR="007B0D81" w:rsidRPr="00CD77BC" w:rsidRDefault="00D22812" w:rsidP="00CD77BC">
      <w:pPr>
        <w:rPr>
          <w:rFonts w:ascii="Arial" w:hAnsi="Arial" w:cs="Arial"/>
          <w:sz w:val="24"/>
          <w:szCs w:val="24"/>
        </w:rPr>
      </w:pPr>
      <w:r w:rsidRPr="00CD77BC">
        <w:rPr>
          <w:rFonts w:ascii="Arial" w:hAnsi="Arial" w:cs="Arial"/>
          <w:sz w:val="24"/>
          <w:szCs w:val="24"/>
        </w:rPr>
        <w:t>DIA</w:t>
      </w:r>
      <w:r w:rsidR="00DD791B" w:rsidRPr="00CD77BC">
        <w:rPr>
          <w:rFonts w:ascii="Arial" w:hAnsi="Arial" w:cs="Arial"/>
          <w:sz w:val="24"/>
          <w:szCs w:val="24"/>
        </w:rPr>
        <w:t>L</w:t>
      </w:r>
      <w:r w:rsidRPr="00CD77BC">
        <w:rPr>
          <w:rFonts w:ascii="Arial" w:hAnsi="Arial" w:cs="Arial"/>
          <w:sz w:val="24"/>
          <w:szCs w:val="24"/>
        </w:rPr>
        <w:t>. (</w:t>
      </w:r>
      <w:r w:rsidR="00A21308" w:rsidRPr="00CD77BC">
        <w:rPr>
          <w:rFonts w:ascii="Arial" w:hAnsi="Arial" w:cs="Arial"/>
          <w:sz w:val="24"/>
          <w:szCs w:val="24"/>
        </w:rPr>
        <w:t>5 Feb. 2025</w:t>
      </w:r>
      <w:r w:rsidRPr="00CD77BC">
        <w:rPr>
          <w:rFonts w:ascii="Arial" w:hAnsi="Arial" w:cs="Arial"/>
          <w:sz w:val="24"/>
          <w:szCs w:val="24"/>
        </w:rPr>
        <w:t xml:space="preserve">). </w:t>
      </w:r>
      <w:r w:rsidR="00A21308" w:rsidRPr="00CD77BC">
        <w:rPr>
          <w:rFonts w:ascii="Arial" w:hAnsi="Arial" w:cs="Arial"/>
          <w:i/>
          <w:iCs/>
          <w:sz w:val="24"/>
          <w:szCs w:val="24"/>
        </w:rPr>
        <w:t>Chapter 59 Tuberculosis Screening</w:t>
      </w:r>
      <w:r w:rsidR="00CD77BC" w:rsidRPr="00CD77BC">
        <w:rPr>
          <w:rFonts w:ascii="Arial" w:hAnsi="Arial" w:cs="Arial"/>
          <w:i/>
          <w:iCs/>
          <w:sz w:val="24"/>
          <w:szCs w:val="24"/>
        </w:rPr>
        <w:t>.</w:t>
      </w:r>
      <w:r w:rsidR="00CD77BC" w:rsidRPr="00CD77BC">
        <w:rPr>
          <w:rFonts w:ascii="Arial" w:hAnsi="Arial" w:cs="Arial"/>
          <w:sz w:val="24"/>
          <w:szCs w:val="24"/>
        </w:rPr>
        <w:t xml:space="preserve">  </w:t>
      </w:r>
      <w:hyperlink r:id="rId11" w:history="1">
        <w:r w:rsidR="00CD77BC" w:rsidRPr="00CD77BC">
          <w:rPr>
            <w:rStyle w:val="Hyperlink"/>
            <w:rFonts w:ascii="Arial" w:hAnsi="Arial" w:cs="Arial"/>
            <w:sz w:val="24"/>
            <w:szCs w:val="24"/>
          </w:rPr>
          <w:t>https://www.legis.iowa.gov/docs/iac/chapter/03-19-2025.481.59.pdf</w:t>
        </w:r>
      </w:hyperlink>
      <w:r w:rsidR="00AF5DFB" w:rsidRPr="00CD77BC">
        <w:rPr>
          <w:rFonts w:ascii="Arial" w:hAnsi="Arial" w:cs="Arial"/>
          <w:sz w:val="24"/>
          <w:szCs w:val="24"/>
        </w:rPr>
        <w:t xml:space="preserve"> </w:t>
      </w:r>
    </w:p>
    <w:sectPr w:rsidR="007B0D81" w:rsidRPr="00CD77BC" w:rsidSect="001848FA">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78AD" w14:textId="77777777" w:rsidR="00082879" w:rsidRDefault="00082879" w:rsidP="00076145">
      <w:pPr>
        <w:spacing w:after="0" w:line="240" w:lineRule="auto"/>
      </w:pPr>
      <w:r>
        <w:separator/>
      </w:r>
    </w:p>
  </w:endnote>
  <w:endnote w:type="continuationSeparator" w:id="0">
    <w:p w14:paraId="443E333B" w14:textId="77777777" w:rsidR="00082879" w:rsidRDefault="00082879" w:rsidP="00076145">
      <w:pPr>
        <w:spacing w:after="0" w:line="240" w:lineRule="auto"/>
      </w:pPr>
      <w:r>
        <w:continuationSeparator/>
      </w:r>
    </w:p>
  </w:endnote>
  <w:endnote w:type="continuationNotice" w:id="1">
    <w:p w14:paraId="34EA3E91" w14:textId="77777777" w:rsidR="00082879" w:rsidRDefault="00082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892241"/>
      <w:docPartObj>
        <w:docPartGallery w:val="Page Numbers (Bottom of Page)"/>
        <w:docPartUnique/>
      </w:docPartObj>
    </w:sdtPr>
    <w:sdtEndPr>
      <w:rPr>
        <w:noProof/>
      </w:rPr>
    </w:sdtEndPr>
    <w:sdtContent>
      <w:p w14:paraId="4C834E76" w14:textId="315E729F" w:rsidR="00CD77BC" w:rsidRDefault="00CD77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AAE2" w14:textId="77777777" w:rsidR="00082879" w:rsidRDefault="00082879" w:rsidP="00076145">
      <w:pPr>
        <w:spacing w:after="0" w:line="240" w:lineRule="auto"/>
      </w:pPr>
      <w:r>
        <w:separator/>
      </w:r>
    </w:p>
  </w:footnote>
  <w:footnote w:type="continuationSeparator" w:id="0">
    <w:p w14:paraId="7D16B9CD" w14:textId="77777777" w:rsidR="00082879" w:rsidRDefault="00082879" w:rsidP="00076145">
      <w:pPr>
        <w:spacing w:after="0" w:line="240" w:lineRule="auto"/>
      </w:pPr>
      <w:r>
        <w:continuationSeparator/>
      </w:r>
    </w:p>
  </w:footnote>
  <w:footnote w:type="continuationNotice" w:id="1">
    <w:p w14:paraId="7A6067A1" w14:textId="77777777" w:rsidR="00082879" w:rsidRDefault="000828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07637"/>
    <w:multiLevelType w:val="hybridMultilevel"/>
    <w:tmpl w:val="CAA81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3030E"/>
    <w:multiLevelType w:val="hybridMultilevel"/>
    <w:tmpl w:val="B0DED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A68A6"/>
    <w:multiLevelType w:val="hybridMultilevel"/>
    <w:tmpl w:val="094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A57E8"/>
    <w:multiLevelType w:val="hybridMultilevel"/>
    <w:tmpl w:val="71D2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E66C6"/>
    <w:multiLevelType w:val="hybridMultilevel"/>
    <w:tmpl w:val="002AB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B46C3"/>
    <w:multiLevelType w:val="hybridMultilevel"/>
    <w:tmpl w:val="E34A4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D7CB0"/>
    <w:multiLevelType w:val="hybridMultilevel"/>
    <w:tmpl w:val="9C9EE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E2071"/>
    <w:multiLevelType w:val="hybridMultilevel"/>
    <w:tmpl w:val="9DCA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26AD1"/>
    <w:multiLevelType w:val="hybridMultilevel"/>
    <w:tmpl w:val="2BCEE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D24DF0"/>
    <w:multiLevelType w:val="hybridMultilevel"/>
    <w:tmpl w:val="D5B07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F653D"/>
    <w:multiLevelType w:val="hybridMultilevel"/>
    <w:tmpl w:val="E7DED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E734B"/>
    <w:multiLevelType w:val="hybridMultilevel"/>
    <w:tmpl w:val="AF889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32790"/>
    <w:multiLevelType w:val="hybridMultilevel"/>
    <w:tmpl w:val="3E22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36AF1"/>
    <w:multiLevelType w:val="hybridMultilevel"/>
    <w:tmpl w:val="BCEAE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106423">
    <w:abstractNumId w:val="29"/>
  </w:num>
  <w:num w:numId="2" w16cid:durableId="1609658505">
    <w:abstractNumId w:val="2"/>
  </w:num>
  <w:num w:numId="3" w16cid:durableId="921447111">
    <w:abstractNumId w:val="26"/>
  </w:num>
  <w:num w:numId="4" w16cid:durableId="1830975451">
    <w:abstractNumId w:val="39"/>
  </w:num>
  <w:num w:numId="5" w16cid:durableId="1234050282">
    <w:abstractNumId w:val="40"/>
  </w:num>
  <w:num w:numId="6" w16cid:durableId="477114415">
    <w:abstractNumId w:val="7"/>
  </w:num>
  <w:num w:numId="7" w16cid:durableId="1498106630">
    <w:abstractNumId w:val="0"/>
  </w:num>
  <w:num w:numId="8" w16cid:durableId="250747880">
    <w:abstractNumId w:val="19"/>
  </w:num>
  <w:num w:numId="9" w16cid:durableId="101263469">
    <w:abstractNumId w:val="25"/>
  </w:num>
  <w:num w:numId="10" w16cid:durableId="2050837349">
    <w:abstractNumId w:val="43"/>
  </w:num>
  <w:num w:numId="11" w16cid:durableId="1610622669">
    <w:abstractNumId w:val="10"/>
  </w:num>
  <w:num w:numId="12" w16cid:durableId="658927067">
    <w:abstractNumId w:val="1"/>
  </w:num>
  <w:num w:numId="13" w16cid:durableId="950283993">
    <w:abstractNumId w:val="24"/>
  </w:num>
  <w:num w:numId="14" w16cid:durableId="107242413">
    <w:abstractNumId w:val="38"/>
  </w:num>
  <w:num w:numId="15" w16cid:durableId="352540834">
    <w:abstractNumId w:val="17"/>
  </w:num>
  <w:num w:numId="16" w16cid:durableId="1987662871">
    <w:abstractNumId w:val="44"/>
  </w:num>
  <w:num w:numId="17" w16cid:durableId="852497219">
    <w:abstractNumId w:val="3"/>
  </w:num>
  <w:num w:numId="18" w16cid:durableId="1143278667">
    <w:abstractNumId w:val="41"/>
  </w:num>
  <w:num w:numId="19" w16cid:durableId="2036691263">
    <w:abstractNumId w:val="27"/>
  </w:num>
  <w:num w:numId="20" w16cid:durableId="687558358">
    <w:abstractNumId w:val="5"/>
  </w:num>
  <w:num w:numId="21" w16cid:durableId="1621112840">
    <w:abstractNumId w:val="13"/>
  </w:num>
  <w:num w:numId="22" w16cid:durableId="1466772613">
    <w:abstractNumId w:val="8"/>
  </w:num>
  <w:num w:numId="23" w16cid:durableId="1833519518">
    <w:abstractNumId w:val="14"/>
  </w:num>
  <w:num w:numId="24" w16cid:durableId="418522705">
    <w:abstractNumId w:val="12"/>
  </w:num>
  <w:num w:numId="25" w16cid:durableId="1356544262">
    <w:abstractNumId w:val="4"/>
  </w:num>
  <w:num w:numId="26" w16cid:durableId="349601477">
    <w:abstractNumId w:val="28"/>
  </w:num>
  <w:num w:numId="27" w16cid:durableId="2094937153">
    <w:abstractNumId w:val="35"/>
  </w:num>
  <w:num w:numId="28" w16cid:durableId="1277247767">
    <w:abstractNumId w:val="20"/>
  </w:num>
  <w:num w:numId="29" w16cid:durableId="590241431">
    <w:abstractNumId w:val="9"/>
  </w:num>
  <w:num w:numId="30" w16cid:durableId="593364312">
    <w:abstractNumId w:val="34"/>
  </w:num>
  <w:num w:numId="31" w16cid:durableId="651522553">
    <w:abstractNumId w:val="21"/>
  </w:num>
  <w:num w:numId="32" w16cid:durableId="920329652">
    <w:abstractNumId w:val="18"/>
  </w:num>
  <w:num w:numId="33" w16cid:durableId="1175073728">
    <w:abstractNumId w:val="16"/>
  </w:num>
  <w:num w:numId="34" w16cid:durableId="376585221">
    <w:abstractNumId w:val="23"/>
  </w:num>
  <w:num w:numId="35" w16cid:durableId="1061633007">
    <w:abstractNumId w:val="31"/>
  </w:num>
  <w:num w:numId="36" w16cid:durableId="1214124732">
    <w:abstractNumId w:val="6"/>
  </w:num>
  <w:num w:numId="37" w16cid:durableId="827867285">
    <w:abstractNumId w:val="22"/>
  </w:num>
  <w:num w:numId="38" w16cid:durableId="649946512">
    <w:abstractNumId w:val="15"/>
  </w:num>
  <w:num w:numId="39" w16cid:durableId="898395329">
    <w:abstractNumId w:val="36"/>
  </w:num>
  <w:num w:numId="40" w16cid:durableId="1834373129">
    <w:abstractNumId w:val="11"/>
  </w:num>
  <w:num w:numId="41" w16cid:durableId="1943225837">
    <w:abstractNumId w:val="32"/>
  </w:num>
  <w:num w:numId="42" w16cid:durableId="304286756">
    <w:abstractNumId w:val="42"/>
  </w:num>
  <w:num w:numId="43" w16cid:durableId="828210680">
    <w:abstractNumId w:val="30"/>
  </w:num>
  <w:num w:numId="44" w16cid:durableId="60447390">
    <w:abstractNumId w:val="37"/>
  </w:num>
  <w:num w:numId="45" w16cid:durableId="14490124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8A3"/>
    <w:rsid w:val="00015410"/>
    <w:rsid w:val="00023CD8"/>
    <w:rsid w:val="00031061"/>
    <w:rsid w:val="00034BF9"/>
    <w:rsid w:val="00035519"/>
    <w:rsid w:val="0003703F"/>
    <w:rsid w:val="000430D5"/>
    <w:rsid w:val="00051D3E"/>
    <w:rsid w:val="00056C55"/>
    <w:rsid w:val="00057257"/>
    <w:rsid w:val="000611A9"/>
    <w:rsid w:val="00065C8C"/>
    <w:rsid w:val="00076145"/>
    <w:rsid w:val="00077DAE"/>
    <w:rsid w:val="00081017"/>
    <w:rsid w:val="00082879"/>
    <w:rsid w:val="00084D7A"/>
    <w:rsid w:val="00087266"/>
    <w:rsid w:val="000909F8"/>
    <w:rsid w:val="00093252"/>
    <w:rsid w:val="00095482"/>
    <w:rsid w:val="00097F40"/>
    <w:rsid w:val="000A47F4"/>
    <w:rsid w:val="000A750B"/>
    <w:rsid w:val="000B0542"/>
    <w:rsid w:val="000B0637"/>
    <w:rsid w:val="000B5C53"/>
    <w:rsid w:val="000B7D01"/>
    <w:rsid w:val="000C4D7B"/>
    <w:rsid w:val="000C5A13"/>
    <w:rsid w:val="000C70A8"/>
    <w:rsid w:val="000D12E8"/>
    <w:rsid w:val="000D213F"/>
    <w:rsid w:val="000D7053"/>
    <w:rsid w:val="000E0441"/>
    <w:rsid w:val="000E219D"/>
    <w:rsid w:val="000E3C00"/>
    <w:rsid w:val="000E7350"/>
    <w:rsid w:val="000E7E65"/>
    <w:rsid w:val="000F33AF"/>
    <w:rsid w:val="000F6A97"/>
    <w:rsid w:val="00102E37"/>
    <w:rsid w:val="00103435"/>
    <w:rsid w:val="00105862"/>
    <w:rsid w:val="00107799"/>
    <w:rsid w:val="00110814"/>
    <w:rsid w:val="00112733"/>
    <w:rsid w:val="00113102"/>
    <w:rsid w:val="00113BDE"/>
    <w:rsid w:val="00114585"/>
    <w:rsid w:val="00127ED1"/>
    <w:rsid w:val="00134739"/>
    <w:rsid w:val="00135632"/>
    <w:rsid w:val="001367F4"/>
    <w:rsid w:val="00137593"/>
    <w:rsid w:val="00137EEA"/>
    <w:rsid w:val="00140B35"/>
    <w:rsid w:val="00142793"/>
    <w:rsid w:val="0014737F"/>
    <w:rsid w:val="001577B7"/>
    <w:rsid w:val="00160009"/>
    <w:rsid w:val="001655CB"/>
    <w:rsid w:val="00166EBC"/>
    <w:rsid w:val="001672E8"/>
    <w:rsid w:val="0017249E"/>
    <w:rsid w:val="00172B44"/>
    <w:rsid w:val="001751EF"/>
    <w:rsid w:val="00176182"/>
    <w:rsid w:val="00176BCF"/>
    <w:rsid w:val="00177C71"/>
    <w:rsid w:val="00180047"/>
    <w:rsid w:val="001831A1"/>
    <w:rsid w:val="001845D2"/>
    <w:rsid w:val="001848FA"/>
    <w:rsid w:val="001A4179"/>
    <w:rsid w:val="001A794C"/>
    <w:rsid w:val="001C422F"/>
    <w:rsid w:val="001C5050"/>
    <w:rsid w:val="001C62D8"/>
    <w:rsid w:val="001D226C"/>
    <w:rsid w:val="001D2FCC"/>
    <w:rsid w:val="001D4AEE"/>
    <w:rsid w:val="001D546F"/>
    <w:rsid w:val="001D61C8"/>
    <w:rsid w:val="001E0029"/>
    <w:rsid w:val="001E3198"/>
    <w:rsid w:val="001E500D"/>
    <w:rsid w:val="001E6771"/>
    <w:rsid w:val="001F06AC"/>
    <w:rsid w:val="002067EE"/>
    <w:rsid w:val="002076A5"/>
    <w:rsid w:val="00220653"/>
    <w:rsid w:val="00223684"/>
    <w:rsid w:val="00224950"/>
    <w:rsid w:val="00230AC3"/>
    <w:rsid w:val="002330FB"/>
    <w:rsid w:val="002467E8"/>
    <w:rsid w:val="00250D94"/>
    <w:rsid w:val="00257EA1"/>
    <w:rsid w:val="00260CA7"/>
    <w:rsid w:val="0026382B"/>
    <w:rsid w:val="00271E43"/>
    <w:rsid w:val="00272132"/>
    <w:rsid w:val="00272D84"/>
    <w:rsid w:val="00273DBC"/>
    <w:rsid w:val="00280C7F"/>
    <w:rsid w:val="00282C9D"/>
    <w:rsid w:val="00283AEC"/>
    <w:rsid w:val="00296E2C"/>
    <w:rsid w:val="002A063D"/>
    <w:rsid w:val="002A3178"/>
    <w:rsid w:val="002A7B08"/>
    <w:rsid w:val="002B401B"/>
    <w:rsid w:val="002B6F00"/>
    <w:rsid w:val="002C5048"/>
    <w:rsid w:val="002C5469"/>
    <w:rsid w:val="002C6F3D"/>
    <w:rsid w:val="002D06E3"/>
    <w:rsid w:val="002D64F5"/>
    <w:rsid w:val="002E14CA"/>
    <w:rsid w:val="002E195C"/>
    <w:rsid w:val="002E1CA0"/>
    <w:rsid w:val="002E3C16"/>
    <w:rsid w:val="002E6900"/>
    <w:rsid w:val="002F219A"/>
    <w:rsid w:val="002F2331"/>
    <w:rsid w:val="00302AC4"/>
    <w:rsid w:val="00305C0B"/>
    <w:rsid w:val="00305D45"/>
    <w:rsid w:val="003073E5"/>
    <w:rsid w:val="0031082D"/>
    <w:rsid w:val="00310C80"/>
    <w:rsid w:val="003130F4"/>
    <w:rsid w:val="00313750"/>
    <w:rsid w:val="00313836"/>
    <w:rsid w:val="003225FD"/>
    <w:rsid w:val="00325BD3"/>
    <w:rsid w:val="00331F56"/>
    <w:rsid w:val="00332397"/>
    <w:rsid w:val="003343F0"/>
    <w:rsid w:val="00335015"/>
    <w:rsid w:val="00342A39"/>
    <w:rsid w:val="00343010"/>
    <w:rsid w:val="00346AE0"/>
    <w:rsid w:val="00350C71"/>
    <w:rsid w:val="00351282"/>
    <w:rsid w:val="00354A46"/>
    <w:rsid w:val="00361AF2"/>
    <w:rsid w:val="003677B4"/>
    <w:rsid w:val="003735E0"/>
    <w:rsid w:val="00373FDC"/>
    <w:rsid w:val="00377F1E"/>
    <w:rsid w:val="00380845"/>
    <w:rsid w:val="003815E9"/>
    <w:rsid w:val="0038271B"/>
    <w:rsid w:val="00393511"/>
    <w:rsid w:val="00393835"/>
    <w:rsid w:val="003950F2"/>
    <w:rsid w:val="003A0034"/>
    <w:rsid w:val="003A3458"/>
    <w:rsid w:val="003A3E2F"/>
    <w:rsid w:val="003A4568"/>
    <w:rsid w:val="003A47EA"/>
    <w:rsid w:val="003B0C4C"/>
    <w:rsid w:val="003B1BC5"/>
    <w:rsid w:val="003B5E23"/>
    <w:rsid w:val="003B6B16"/>
    <w:rsid w:val="003C3C5F"/>
    <w:rsid w:val="003C5E1A"/>
    <w:rsid w:val="003C60F7"/>
    <w:rsid w:val="003D005A"/>
    <w:rsid w:val="003D3B85"/>
    <w:rsid w:val="003D3E61"/>
    <w:rsid w:val="003D3EA6"/>
    <w:rsid w:val="003D6681"/>
    <w:rsid w:val="003E2B66"/>
    <w:rsid w:val="003F3F36"/>
    <w:rsid w:val="003F5E94"/>
    <w:rsid w:val="0040063F"/>
    <w:rsid w:val="00400937"/>
    <w:rsid w:val="00406764"/>
    <w:rsid w:val="00410787"/>
    <w:rsid w:val="00412844"/>
    <w:rsid w:val="00414562"/>
    <w:rsid w:val="00414EA5"/>
    <w:rsid w:val="00416096"/>
    <w:rsid w:val="004232F0"/>
    <w:rsid w:val="004348F1"/>
    <w:rsid w:val="004437A8"/>
    <w:rsid w:val="00453807"/>
    <w:rsid w:val="00454A60"/>
    <w:rsid w:val="00463D1D"/>
    <w:rsid w:val="00464FF1"/>
    <w:rsid w:val="00467307"/>
    <w:rsid w:val="004679EB"/>
    <w:rsid w:val="00471D05"/>
    <w:rsid w:val="00472022"/>
    <w:rsid w:val="0047290E"/>
    <w:rsid w:val="00475C60"/>
    <w:rsid w:val="004766E1"/>
    <w:rsid w:val="00477AE2"/>
    <w:rsid w:val="00480DA1"/>
    <w:rsid w:val="00485C4E"/>
    <w:rsid w:val="004A0352"/>
    <w:rsid w:val="004A1EF1"/>
    <w:rsid w:val="004B09A3"/>
    <w:rsid w:val="004B1835"/>
    <w:rsid w:val="004B3029"/>
    <w:rsid w:val="004B5ECF"/>
    <w:rsid w:val="004B6B13"/>
    <w:rsid w:val="004C058D"/>
    <w:rsid w:val="004C3260"/>
    <w:rsid w:val="004D376B"/>
    <w:rsid w:val="004E3130"/>
    <w:rsid w:val="004E3832"/>
    <w:rsid w:val="004E4B73"/>
    <w:rsid w:val="004E4CDE"/>
    <w:rsid w:val="004E568D"/>
    <w:rsid w:val="004E582F"/>
    <w:rsid w:val="004F04DE"/>
    <w:rsid w:val="004F0971"/>
    <w:rsid w:val="004F6B1D"/>
    <w:rsid w:val="00501E29"/>
    <w:rsid w:val="0050472E"/>
    <w:rsid w:val="00511A33"/>
    <w:rsid w:val="00523009"/>
    <w:rsid w:val="00523057"/>
    <w:rsid w:val="00523460"/>
    <w:rsid w:val="00524C0D"/>
    <w:rsid w:val="005341B2"/>
    <w:rsid w:val="00536BA7"/>
    <w:rsid w:val="00537F4C"/>
    <w:rsid w:val="005420B3"/>
    <w:rsid w:val="00544BD4"/>
    <w:rsid w:val="00545674"/>
    <w:rsid w:val="00546FDA"/>
    <w:rsid w:val="00547153"/>
    <w:rsid w:val="00550E6B"/>
    <w:rsid w:val="00551DCB"/>
    <w:rsid w:val="005579C5"/>
    <w:rsid w:val="00557CFC"/>
    <w:rsid w:val="00571B14"/>
    <w:rsid w:val="00571F6D"/>
    <w:rsid w:val="00573683"/>
    <w:rsid w:val="00574950"/>
    <w:rsid w:val="0057656E"/>
    <w:rsid w:val="0058249F"/>
    <w:rsid w:val="00584E02"/>
    <w:rsid w:val="00595A36"/>
    <w:rsid w:val="005A0ED5"/>
    <w:rsid w:val="005A39DD"/>
    <w:rsid w:val="005A3B14"/>
    <w:rsid w:val="005B0C80"/>
    <w:rsid w:val="005B1BCC"/>
    <w:rsid w:val="005C0CDA"/>
    <w:rsid w:val="005C2F37"/>
    <w:rsid w:val="005C6FE0"/>
    <w:rsid w:val="005D25E9"/>
    <w:rsid w:val="005D33ED"/>
    <w:rsid w:val="005D52F4"/>
    <w:rsid w:val="005D6827"/>
    <w:rsid w:val="005D6E5A"/>
    <w:rsid w:val="005E2843"/>
    <w:rsid w:val="005E38F4"/>
    <w:rsid w:val="005E434A"/>
    <w:rsid w:val="005F359D"/>
    <w:rsid w:val="005F7BCB"/>
    <w:rsid w:val="00600DB6"/>
    <w:rsid w:val="00605D3C"/>
    <w:rsid w:val="006132AA"/>
    <w:rsid w:val="00614B74"/>
    <w:rsid w:val="006151A8"/>
    <w:rsid w:val="00615B19"/>
    <w:rsid w:val="00622366"/>
    <w:rsid w:val="0062476E"/>
    <w:rsid w:val="006262B8"/>
    <w:rsid w:val="006275FD"/>
    <w:rsid w:val="00633F9D"/>
    <w:rsid w:val="00636204"/>
    <w:rsid w:val="0063667F"/>
    <w:rsid w:val="006372C4"/>
    <w:rsid w:val="00637CB6"/>
    <w:rsid w:val="00641491"/>
    <w:rsid w:val="00656539"/>
    <w:rsid w:val="00663E51"/>
    <w:rsid w:val="006663E3"/>
    <w:rsid w:val="006675C7"/>
    <w:rsid w:val="00670D66"/>
    <w:rsid w:val="006728C3"/>
    <w:rsid w:val="00673EFA"/>
    <w:rsid w:val="00677DF7"/>
    <w:rsid w:val="006846E3"/>
    <w:rsid w:val="00684A9F"/>
    <w:rsid w:val="0068770D"/>
    <w:rsid w:val="00690626"/>
    <w:rsid w:val="00693872"/>
    <w:rsid w:val="00694498"/>
    <w:rsid w:val="006958A6"/>
    <w:rsid w:val="0069716F"/>
    <w:rsid w:val="006A5416"/>
    <w:rsid w:val="006A729F"/>
    <w:rsid w:val="006A7A4D"/>
    <w:rsid w:val="006B0E50"/>
    <w:rsid w:val="006B2164"/>
    <w:rsid w:val="006B2DBD"/>
    <w:rsid w:val="006B3DB7"/>
    <w:rsid w:val="006B402B"/>
    <w:rsid w:val="006C0267"/>
    <w:rsid w:val="006C35D3"/>
    <w:rsid w:val="006D0248"/>
    <w:rsid w:val="006D0C60"/>
    <w:rsid w:val="006D1B3E"/>
    <w:rsid w:val="006D525C"/>
    <w:rsid w:val="006E3919"/>
    <w:rsid w:val="006E73E1"/>
    <w:rsid w:val="006F05A7"/>
    <w:rsid w:val="006F0647"/>
    <w:rsid w:val="006F47A4"/>
    <w:rsid w:val="006F49D2"/>
    <w:rsid w:val="006F52C6"/>
    <w:rsid w:val="00700D0C"/>
    <w:rsid w:val="007113C6"/>
    <w:rsid w:val="007135A1"/>
    <w:rsid w:val="007136AC"/>
    <w:rsid w:val="00713BC6"/>
    <w:rsid w:val="0071631F"/>
    <w:rsid w:val="00716372"/>
    <w:rsid w:val="007215F6"/>
    <w:rsid w:val="0073046A"/>
    <w:rsid w:val="0073190C"/>
    <w:rsid w:val="00731AFD"/>
    <w:rsid w:val="00732326"/>
    <w:rsid w:val="00735E06"/>
    <w:rsid w:val="0073625C"/>
    <w:rsid w:val="007372DF"/>
    <w:rsid w:val="00742714"/>
    <w:rsid w:val="007441B0"/>
    <w:rsid w:val="007459A9"/>
    <w:rsid w:val="00746D6B"/>
    <w:rsid w:val="0075014B"/>
    <w:rsid w:val="00754B72"/>
    <w:rsid w:val="0075598A"/>
    <w:rsid w:val="007700DF"/>
    <w:rsid w:val="007743EE"/>
    <w:rsid w:val="00775063"/>
    <w:rsid w:val="00776966"/>
    <w:rsid w:val="00792043"/>
    <w:rsid w:val="007931FE"/>
    <w:rsid w:val="00795286"/>
    <w:rsid w:val="00795E17"/>
    <w:rsid w:val="0079713F"/>
    <w:rsid w:val="007A2EE1"/>
    <w:rsid w:val="007A6859"/>
    <w:rsid w:val="007B0554"/>
    <w:rsid w:val="007B0D81"/>
    <w:rsid w:val="007B6686"/>
    <w:rsid w:val="007B6E8D"/>
    <w:rsid w:val="007C011D"/>
    <w:rsid w:val="007C27B7"/>
    <w:rsid w:val="007C4659"/>
    <w:rsid w:val="007C7B67"/>
    <w:rsid w:val="007D35A4"/>
    <w:rsid w:val="007D4791"/>
    <w:rsid w:val="007E043E"/>
    <w:rsid w:val="007E381D"/>
    <w:rsid w:val="007E4481"/>
    <w:rsid w:val="007E62CB"/>
    <w:rsid w:val="007E6C99"/>
    <w:rsid w:val="007F08EC"/>
    <w:rsid w:val="007F1440"/>
    <w:rsid w:val="007F1E39"/>
    <w:rsid w:val="007F40CA"/>
    <w:rsid w:val="007F4D42"/>
    <w:rsid w:val="008249A0"/>
    <w:rsid w:val="008354B8"/>
    <w:rsid w:val="00840BF8"/>
    <w:rsid w:val="00840D72"/>
    <w:rsid w:val="0084191F"/>
    <w:rsid w:val="0084538D"/>
    <w:rsid w:val="00857221"/>
    <w:rsid w:val="00857F7B"/>
    <w:rsid w:val="00866339"/>
    <w:rsid w:val="00866BDF"/>
    <w:rsid w:val="00867CC1"/>
    <w:rsid w:val="00871824"/>
    <w:rsid w:val="00871C72"/>
    <w:rsid w:val="00880F26"/>
    <w:rsid w:val="0088449A"/>
    <w:rsid w:val="00892B45"/>
    <w:rsid w:val="00892FF3"/>
    <w:rsid w:val="00897FDE"/>
    <w:rsid w:val="008A1473"/>
    <w:rsid w:val="008A2505"/>
    <w:rsid w:val="008B0AD0"/>
    <w:rsid w:val="008B4FAC"/>
    <w:rsid w:val="008C08E3"/>
    <w:rsid w:val="008D016D"/>
    <w:rsid w:val="008D3534"/>
    <w:rsid w:val="008E6C47"/>
    <w:rsid w:val="008F31F4"/>
    <w:rsid w:val="008F7650"/>
    <w:rsid w:val="00900DA9"/>
    <w:rsid w:val="009127FA"/>
    <w:rsid w:val="00915ECE"/>
    <w:rsid w:val="0092641E"/>
    <w:rsid w:val="00934F56"/>
    <w:rsid w:val="00941AAA"/>
    <w:rsid w:val="009424C4"/>
    <w:rsid w:val="00942CC8"/>
    <w:rsid w:val="009449A2"/>
    <w:rsid w:val="00950FCD"/>
    <w:rsid w:val="009526FC"/>
    <w:rsid w:val="0095701E"/>
    <w:rsid w:val="009618C8"/>
    <w:rsid w:val="00963E42"/>
    <w:rsid w:val="00965C93"/>
    <w:rsid w:val="0096754F"/>
    <w:rsid w:val="00982337"/>
    <w:rsid w:val="0098534F"/>
    <w:rsid w:val="00996CF0"/>
    <w:rsid w:val="009A233B"/>
    <w:rsid w:val="009A3FE6"/>
    <w:rsid w:val="009B2E82"/>
    <w:rsid w:val="009B74D0"/>
    <w:rsid w:val="009C3009"/>
    <w:rsid w:val="009C3B27"/>
    <w:rsid w:val="009D2D36"/>
    <w:rsid w:val="009D61BE"/>
    <w:rsid w:val="009D7286"/>
    <w:rsid w:val="009E42BE"/>
    <w:rsid w:val="009E49E3"/>
    <w:rsid w:val="009F622E"/>
    <w:rsid w:val="009F7A22"/>
    <w:rsid w:val="00A00573"/>
    <w:rsid w:val="00A06CBA"/>
    <w:rsid w:val="00A07685"/>
    <w:rsid w:val="00A1288F"/>
    <w:rsid w:val="00A21308"/>
    <w:rsid w:val="00A21913"/>
    <w:rsid w:val="00A24E39"/>
    <w:rsid w:val="00A30358"/>
    <w:rsid w:val="00A31AC7"/>
    <w:rsid w:val="00A31EFD"/>
    <w:rsid w:val="00A32A68"/>
    <w:rsid w:val="00A3458E"/>
    <w:rsid w:val="00A41320"/>
    <w:rsid w:val="00A41512"/>
    <w:rsid w:val="00A42F0D"/>
    <w:rsid w:val="00A50226"/>
    <w:rsid w:val="00A53B0C"/>
    <w:rsid w:val="00A6038F"/>
    <w:rsid w:val="00A62106"/>
    <w:rsid w:val="00A62755"/>
    <w:rsid w:val="00A62EF7"/>
    <w:rsid w:val="00A63AF0"/>
    <w:rsid w:val="00A6529A"/>
    <w:rsid w:val="00A67FDC"/>
    <w:rsid w:val="00A71A6F"/>
    <w:rsid w:val="00A73A9A"/>
    <w:rsid w:val="00A74771"/>
    <w:rsid w:val="00A752F4"/>
    <w:rsid w:val="00A76428"/>
    <w:rsid w:val="00A8669F"/>
    <w:rsid w:val="00A90257"/>
    <w:rsid w:val="00A90C94"/>
    <w:rsid w:val="00A93D89"/>
    <w:rsid w:val="00A95A8B"/>
    <w:rsid w:val="00A964A5"/>
    <w:rsid w:val="00AA2CF4"/>
    <w:rsid w:val="00AA3887"/>
    <w:rsid w:val="00AA4E1A"/>
    <w:rsid w:val="00AB0AA7"/>
    <w:rsid w:val="00AB2E8C"/>
    <w:rsid w:val="00AC2939"/>
    <w:rsid w:val="00AD0DDB"/>
    <w:rsid w:val="00AD4BA8"/>
    <w:rsid w:val="00AF0520"/>
    <w:rsid w:val="00AF12F6"/>
    <w:rsid w:val="00AF4827"/>
    <w:rsid w:val="00AF5DFB"/>
    <w:rsid w:val="00B00FF4"/>
    <w:rsid w:val="00B06631"/>
    <w:rsid w:val="00B14D39"/>
    <w:rsid w:val="00B15CBE"/>
    <w:rsid w:val="00B16AC6"/>
    <w:rsid w:val="00B17506"/>
    <w:rsid w:val="00B23B2F"/>
    <w:rsid w:val="00B2439A"/>
    <w:rsid w:val="00B33211"/>
    <w:rsid w:val="00B34E1D"/>
    <w:rsid w:val="00B373DD"/>
    <w:rsid w:val="00B41474"/>
    <w:rsid w:val="00B460AC"/>
    <w:rsid w:val="00B4770D"/>
    <w:rsid w:val="00B546D9"/>
    <w:rsid w:val="00B57E38"/>
    <w:rsid w:val="00B63510"/>
    <w:rsid w:val="00B63562"/>
    <w:rsid w:val="00B71E02"/>
    <w:rsid w:val="00B77602"/>
    <w:rsid w:val="00B77BF5"/>
    <w:rsid w:val="00B84B39"/>
    <w:rsid w:val="00B9155A"/>
    <w:rsid w:val="00BA08BC"/>
    <w:rsid w:val="00BA3892"/>
    <w:rsid w:val="00BA541F"/>
    <w:rsid w:val="00BB096A"/>
    <w:rsid w:val="00BB0A16"/>
    <w:rsid w:val="00BB1AC0"/>
    <w:rsid w:val="00BB6DB7"/>
    <w:rsid w:val="00BD252A"/>
    <w:rsid w:val="00BD2DE6"/>
    <w:rsid w:val="00BD5D0B"/>
    <w:rsid w:val="00BD6BB3"/>
    <w:rsid w:val="00BE57AB"/>
    <w:rsid w:val="00BF1D17"/>
    <w:rsid w:val="00BF4656"/>
    <w:rsid w:val="00BF5380"/>
    <w:rsid w:val="00BF5D47"/>
    <w:rsid w:val="00C01726"/>
    <w:rsid w:val="00C10BFE"/>
    <w:rsid w:val="00C13348"/>
    <w:rsid w:val="00C14405"/>
    <w:rsid w:val="00C15A2E"/>
    <w:rsid w:val="00C425A6"/>
    <w:rsid w:val="00C442F5"/>
    <w:rsid w:val="00C474E1"/>
    <w:rsid w:val="00C47C94"/>
    <w:rsid w:val="00C55456"/>
    <w:rsid w:val="00C56961"/>
    <w:rsid w:val="00C57736"/>
    <w:rsid w:val="00C65902"/>
    <w:rsid w:val="00C704BA"/>
    <w:rsid w:val="00C77AC5"/>
    <w:rsid w:val="00C81E88"/>
    <w:rsid w:val="00C905DC"/>
    <w:rsid w:val="00C90DF2"/>
    <w:rsid w:val="00C94CB4"/>
    <w:rsid w:val="00CA1E1B"/>
    <w:rsid w:val="00CA216D"/>
    <w:rsid w:val="00CA785B"/>
    <w:rsid w:val="00CB22A7"/>
    <w:rsid w:val="00CB3946"/>
    <w:rsid w:val="00CC3ACF"/>
    <w:rsid w:val="00CC4C42"/>
    <w:rsid w:val="00CD25A5"/>
    <w:rsid w:val="00CD2F7B"/>
    <w:rsid w:val="00CD6144"/>
    <w:rsid w:val="00CD722E"/>
    <w:rsid w:val="00CD77BC"/>
    <w:rsid w:val="00CE6F12"/>
    <w:rsid w:val="00CE76AD"/>
    <w:rsid w:val="00CE7897"/>
    <w:rsid w:val="00CF005C"/>
    <w:rsid w:val="00CF2FB8"/>
    <w:rsid w:val="00D0087C"/>
    <w:rsid w:val="00D015C1"/>
    <w:rsid w:val="00D04EF2"/>
    <w:rsid w:val="00D05D2B"/>
    <w:rsid w:val="00D11296"/>
    <w:rsid w:val="00D21932"/>
    <w:rsid w:val="00D22812"/>
    <w:rsid w:val="00D25333"/>
    <w:rsid w:val="00D25ADF"/>
    <w:rsid w:val="00D30357"/>
    <w:rsid w:val="00D34D99"/>
    <w:rsid w:val="00D414B7"/>
    <w:rsid w:val="00D47533"/>
    <w:rsid w:val="00D5211A"/>
    <w:rsid w:val="00D54BA5"/>
    <w:rsid w:val="00D60762"/>
    <w:rsid w:val="00D62FB7"/>
    <w:rsid w:val="00D71951"/>
    <w:rsid w:val="00D71CFC"/>
    <w:rsid w:val="00D73104"/>
    <w:rsid w:val="00D769AB"/>
    <w:rsid w:val="00D823C3"/>
    <w:rsid w:val="00D82EA7"/>
    <w:rsid w:val="00D8440F"/>
    <w:rsid w:val="00D85A79"/>
    <w:rsid w:val="00D8766C"/>
    <w:rsid w:val="00D90F54"/>
    <w:rsid w:val="00DA04C5"/>
    <w:rsid w:val="00DA5859"/>
    <w:rsid w:val="00DA6D93"/>
    <w:rsid w:val="00DA7B1E"/>
    <w:rsid w:val="00DB386A"/>
    <w:rsid w:val="00DB3944"/>
    <w:rsid w:val="00DB5FB6"/>
    <w:rsid w:val="00DB65F1"/>
    <w:rsid w:val="00DC22DF"/>
    <w:rsid w:val="00DC49B2"/>
    <w:rsid w:val="00DC5937"/>
    <w:rsid w:val="00DD791B"/>
    <w:rsid w:val="00DE0A96"/>
    <w:rsid w:val="00DE5158"/>
    <w:rsid w:val="00DF0B47"/>
    <w:rsid w:val="00DF7304"/>
    <w:rsid w:val="00E000F3"/>
    <w:rsid w:val="00E01B4E"/>
    <w:rsid w:val="00E04FDB"/>
    <w:rsid w:val="00E112FC"/>
    <w:rsid w:val="00E14010"/>
    <w:rsid w:val="00E14E44"/>
    <w:rsid w:val="00E2187D"/>
    <w:rsid w:val="00E22090"/>
    <w:rsid w:val="00E227D4"/>
    <w:rsid w:val="00E27EC1"/>
    <w:rsid w:val="00E467E9"/>
    <w:rsid w:val="00E4682E"/>
    <w:rsid w:val="00E4699C"/>
    <w:rsid w:val="00E477EF"/>
    <w:rsid w:val="00E50CEE"/>
    <w:rsid w:val="00E515E2"/>
    <w:rsid w:val="00E54F8D"/>
    <w:rsid w:val="00E64843"/>
    <w:rsid w:val="00E72E1B"/>
    <w:rsid w:val="00E74E8D"/>
    <w:rsid w:val="00E77BBE"/>
    <w:rsid w:val="00E80A66"/>
    <w:rsid w:val="00E81A83"/>
    <w:rsid w:val="00E84D7E"/>
    <w:rsid w:val="00E868A9"/>
    <w:rsid w:val="00E903E0"/>
    <w:rsid w:val="00E975E6"/>
    <w:rsid w:val="00EA387D"/>
    <w:rsid w:val="00EA4ADA"/>
    <w:rsid w:val="00EA5EFD"/>
    <w:rsid w:val="00EA74F7"/>
    <w:rsid w:val="00EB5037"/>
    <w:rsid w:val="00EB73D4"/>
    <w:rsid w:val="00EB7C19"/>
    <w:rsid w:val="00EC210F"/>
    <w:rsid w:val="00EC4BAD"/>
    <w:rsid w:val="00ED0C27"/>
    <w:rsid w:val="00EE02E2"/>
    <w:rsid w:val="00EE0E6A"/>
    <w:rsid w:val="00EE1F71"/>
    <w:rsid w:val="00EF4C94"/>
    <w:rsid w:val="00F05D17"/>
    <w:rsid w:val="00F12F50"/>
    <w:rsid w:val="00F16AD8"/>
    <w:rsid w:val="00F26D3C"/>
    <w:rsid w:val="00F335FC"/>
    <w:rsid w:val="00F3697A"/>
    <w:rsid w:val="00F44940"/>
    <w:rsid w:val="00F46222"/>
    <w:rsid w:val="00F467D6"/>
    <w:rsid w:val="00F47C21"/>
    <w:rsid w:val="00F55528"/>
    <w:rsid w:val="00F5600B"/>
    <w:rsid w:val="00F573A1"/>
    <w:rsid w:val="00F63200"/>
    <w:rsid w:val="00F65308"/>
    <w:rsid w:val="00F653C6"/>
    <w:rsid w:val="00F6584C"/>
    <w:rsid w:val="00F7714B"/>
    <w:rsid w:val="00F77E5B"/>
    <w:rsid w:val="00F84CA3"/>
    <w:rsid w:val="00F85CD4"/>
    <w:rsid w:val="00F90ABA"/>
    <w:rsid w:val="00F937F0"/>
    <w:rsid w:val="00F95510"/>
    <w:rsid w:val="00FA143B"/>
    <w:rsid w:val="00FA35F1"/>
    <w:rsid w:val="00FA69A3"/>
    <w:rsid w:val="00FB4409"/>
    <w:rsid w:val="00FC47BB"/>
    <w:rsid w:val="00FC4B8C"/>
    <w:rsid w:val="00FC797C"/>
    <w:rsid w:val="00FD3546"/>
    <w:rsid w:val="00FD6269"/>
    <w:rsid w:val="00FD7440"/>
    <w:rsid w:val="00FD7DCC"/>
    <w:rsid w:val="00FE2656"/>
    <w:rsid w:val="00FE7B94"/>
    <w:rsid w:val="00FF0A6F"/>
    <w:rsid w:val="00FF36D8"/>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7B0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iowa.gov/docs/iac/chapter/03-19-2025.481.59.pdf"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4E7F858F-1C28-45D0-9AA2-4543FC1FBEFC}"/>
</file>

<file path=customXml/itemProps2.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3.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6</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154</cp:revision>
  <dcterms:created xsi:type="dcterms:W3CDTF">2025-04-01T20:22:00Z</dcterms:created>
  <dcterms:modified xsi:type="dcterms:W3CDTF">2025-04-02T14:19:00Z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b4c33737-5184-473a-9589-44d7e0737f19</vt:lpwstr>
  </property>
</Properties>
</file>