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0158C" w14:textId="6D94A2B8" w:rsidR="007E3F1A" w:rsidRPr="007E3F1A" w:rsidRDefault="000E21AA" w:rsidP="007E3F1A">
      <w:pPr>
        <w:jc w:val="center"/>
        <w:rPr>
          <w:b/>
          <w:bCs/>
        </w:rPr>
      </w:pPr>
      <w:r>
        <w:rPr>
          <w:b/>
          <w:bCs/>
        </w:rPr>
        <w:t xml:space="preserve">F578 - </w:t>
      </w:r>
      <w:r w:rsidR="007E3F1A" w:rsidRPr="007E3F1A">
        <w:rPr>
          <w:b/>
          <w:bCs/>
        </w:rPr>
        <w:t>Advance Directive Regulatory Requirements</w:t>
      </w:r>
    </w:p>
    <w:p w14:paraId="5E476B22" w14:textId="77777777" w:rsidR="007E3F1A" w:rsidRPr="007E3F1A" w:rsidRDefault="007E3F1A" w:rsidP="007E3F1A">
      <w:r w:rsidRPr="007E3F1A">
        <w:t xml:space="preserve">In the March edition of the LTC Survey Trends, you’ll note that an immediate jeopardy was cited for a nursing home who failed to periodically review a resident’s advance directive information. In the summary of the deficiency, DIA provided evidence that the </w:t>
      </w:r>
      <w:proofErr w:type="gramStart"/>
      <w:r w:rsidRPr="007E3F1A">
        <w:t>resident</w:t>
      </w:r>
      <w:proofErr w:type="gramEnd"/>
      <w:r w:rsidRPr="007E3F1A">
        <w:t xml:space="preserve"> expressed to the surveyor on more than one occurrence that they wished to be a full code, that they were not invited to the care conferences, and did not recall the nursing home reviewing their DNR status with them since admission. In addition, the physician signed the IPOST document prior to the resident signing the document.</w:t>
      </w:r>
    </w:p>
    <w:p w14:paraId="74E5D7EE" w14:textId="77777777" w:rsidR="007E3F1A" w:rsidRPr="007E3F1A" w:rsidRDefault="007E3F1A" w:rsidP="007E3F1A">
      <w:r w:rsidRPr="007E3F1A">
        <w:t>Here is what is required of a nursing home in </w:t>
      </w:r>
      <w:hyperlink r:id="rId10" w:history="1">
        <w:r w:rsidRPr="007E3F1A">
          <w:rPr>
            <w:rStyle w:val="Hyperlink"/>
          </w:rPr>
          <w:t>Appendix PP</w:t>
        </w:r>
      </w:hyperlink>
      <w:r w:rsidRPr="007E3F1A">
        <w:t> under F578:</w:t>
      </w:r>
    </w:p>
    <w:p w14:paraId="3099CAD6" w14:textId="77777777" w:rsidR="007E3F1A" w:rsidRPr="007E3F1A" w:rsidRDefault="007E3F1A" w:rsidP="007E3F1A">
      <w:r w:rsidRPr="007E3F1A">
        <w:t xml:space="preserve">Residents have the right to request, refuse, and/or discontinue treatment, to participate in or refuse to participate in experimental research, and to formulate an </w:t>
      </w:r>
      <w:proofErr w:type="gramStart"/>
      <w:r w:rsidRPr="007E3F1A">
        <w:t>advance</w:t>
      </w:r>
      <w:proofErr w:type="gramEnd"/>
      <w:r w:rsidRPr="007E3F1A">
        <w:t xml:space="preserve"> directive. Nothing in this paragraph should be construed as the right of the </w:t>
      </w:r>
      <w:proofErr w:type="gramStart"/>
      <w:r w:rsidRPr="007E3F1A">
        <w:t>resident</w:t>
      </w:r>
      <w:proofErr w:type="gramEnd"/>
      <w:r w:rsidRPr="007E3F1A">
        <w:t xml:space="preserve"> to receive the provision of medical treatment or medical services deemed medically unnecessary or inappropriate.</w:t>
      </w:r>
    </w:p>
    <w:p w14:paraId="17073382" w14:textId="77777777" w:rsidR="007E3F1A" w:rsidRPr="007E3F1A" w:rsidRDefault="007E3F1A" w:rsidP="007E3F1A">
      <w:r w:rsidRPr="007E3F1A">
        <w:t>The nursing home must comply with the requirements specified in 42 CFR part 489, subpart I (Advance Directives).</w:t>
      </w:r>
    </w:p>
    <w:p w14:paraId="0A4FCBCF" w14:textId="77777777" w:rsidR="007E3F1A" w:rsidRPr="007E3F1A" w:rsidRDefault="007E3F1A" w:rsidP="007E3F1A">
      <w:pPr>
        <w:numPr>
          <w:ilvl w:val="0"/>
          <w:numId w:val="35"/>
        </w:numPr>
      </w:pPr>
      <w:r w:rsidRPr="007E3F1A">
        <w:t>These requirements include provisions to inform and provide written information to all adult residents concerning the right to accept or refuse medical or surgical treatment and, at the resident’s option, formulate an advance directive.</w:t>
      </w:r>
    </w:p>
    <w:p w14:paraId="324A85EA" w14:textId="77777777" w:rsidR="007E3F1A" w:rsidRPr="007E3F1A" w:rsidRDefault="007E3F1A" w:rsidP="007E3F1A">
      <w:pPr>
        <w:numPr>
          <w:ilvl w:val="0"/>
          <w:numId w:val="35"/>
        </w:numPr>
      </w:pPr>
      <w:r w:rsidRPr="007E3F1A">
        <w:t xml:space="preserve">This includes a written description of the nursing home’s policies to implement </w:t>
      </w:r>
      <w:proofErr w:type="gramStart"/>
      <w:r w:rsidRPr="007E3F1A">
        <w:t>advance</w:t>
      </w:r>
      <w:proofErr w:type="gramEnd"/>
      <w:r w:rsidRPr="007E3F1A">
        <w:t xml:space="preserve"> directives and applicable State law.</w:t>
      </w:r>
    </w:p>
    <w:p w14:paraId="700020F2" w14:textId="77777777" w:rsidR="007E3F1A" w:rsidRPr="007E3F1A" w:rsidRDefault="007E3F1A" w:rsidP="007E3F1A">
      <w:pPr>
        <w:numPr>
          <w:ilvl w:val="0"/>
          <w:numId w:val="35"/>
        </w:numPr>
      </w:pPr>
      <w:r w:rsidRPr="007E3F1A">
        <w:t>Nursing homes are permitted to contract with other entities to furnish this information but are still legally responsible for ensuring that the requirements of this section are met.</w:t>
      </w:r>
    </w:p>
    <w:p w14:paraId="4FFCD3EE" w14:textId="77777777" w:rsidR="007E3F1A" w:rsidRPr="007E3F1A" w:rsidRDefault="007E3F1A" w:rsidP="007E3F1A">
      <w:pPr>
        <w:numPr>
          <w:ilvl w:val="0"/>
          <w:numId w:val="35"/>
        </w:numPr>
      </w:pPr>
      <w:r w:rsidRPr="007E3F1A">
        <w:t xml:space="preserve">If an adult individual is incapacitated at the time of admission and is unable to receive information or articulate </w:t>
      </w:r>
      <w:proofErr w:type="gramStart"/>
      <w:r w:rsidRPr="007E3F1A">
        <w:t>whether or not</w:t>
      </w:r>
      <w:proofErr w:type="gramEnd"/>
      <w:r w:rsidRPr="007E3F1A">
        <w:t xml:space="preserve"> he or she has executed an </w:t>
      </w:r>
      <w:proofErr w:type="gramStart"/>
      <w:r w:rsidRPr="007E3F1A">
        <w:t>advance</w:t>
      </w:r>
      <w:proofErr w:type="gramEnd"/>
      <w:r w:rsidRPr="007E3F1A">
        <w:t xml:space="preserve"> directive, the nursing home may give advance directive information to the individual’s resident representative in accordance with State law.</w:t>
      </w:r>
    </w:p>
    <w:p w14:paraId="315B4095" w14:textId="77777777" w:rsidR="007E3F1A" w:rsidRPr="007E3F1A" w:rsidRDefault="007E3F1A" w:rsidP="007E3F1A">
      <w:pPr>
        <w:numPr>
          <w:ilvl w:val="0"/>
          <w:numId w:val="35"/>
        </w:numPr>
      </w:pPr>
      <w:r w:rsidRPr="007E3F1A">
        <w:t>The nursing home is not relieved of its obligation to provide this information to the individual once he or she is able to receive such information. Follow-up procedures must be in place to provide the information to the individual directly at the appropriate time.</w:t>
      </w:r>
    </w:p>
    <w:p w14:paraId="14C955EB" w14:textId="77777777" w:rsidR="007E3F1A" w:rsidRPr="007E3F1A" w:rsidRDefault="007E3F1A" w:rsidP="007E3F1A">
      <w:r w:rsidRPr="007E3F1A">
        <w:lastRenderedPageBreak/>
        <w:t>The interpretative guidance directs nursing homes to:</w:t>
      </w:r>
    </w:p>
    <w:p w14:paraId="0AF1DE48" w14:textId="77777777" w:rsidR="007E3F1A" w:rsidRPr="007E3F1A" w:rsidRDefault="007E3F1A" w:rsidP="007E3F1A">
      <w:pPr>
        <w:numPr>
          <w:ilvl w:val="0"/>
          <w:numId w:val="36"/>
        </w:numPr>
      </w:pPr>
      <w:r w:rsidRPr="007E3F1A">
        <w:t>Not provide medical treatment or services if it is not medically necessary, despite the resident/representative(s) request.</w:t>
      </w:r>
    </w:p>
    <w:p w14:paraId="7BE935B0" w14:textId="77777777" w:rsidR="007E3F1A" w:rsidRPr="007E3F1A" w:rsidRDefault="007E3F1A" w:rsidP="007E3F1A">
      <w:pPr>
        <w:numPr>
          <w:ilvl w:val="0"/>
          <w:numId w:val="36"/>
        </w:numPr>
      </w:pPr>
      <w:r w:rsidRPr="007E3F1A">
        <w:t>If a resident refuses medical treatment or services, the nursing home still has the responsibility to ensure that the resident attains or maintains their highest practicable mental, physical and psychosocial well-being within the resident’s desires. The example in the interpretative guidance states that the nursing home is still required to provide pressure ulcer prevention/treatment for a resident who refuses to eat/drink and is near death.</w:t>
      </w:r>
    </w:p>
    <w:p w14:paraId="3CBD905B" w14:textId="77777777" w:rsidR="007E3F1A" w:rsidRPr="007E3F1A" w:rsidRDefault="007E3F1A" w:rsidP="007E3F1A">
      <w:pPr>
        <w:numPr>
          <w:ilvl w:val="0"/>
          <w:numId w:val="36"/>
        </w:numPr>
      </w:pPr>
      <w:r w:rsidRPr="007E3F1A">
        <w:t xml:space="preserve">The advance care planning process is ongoing and affords the resident, family, and others on the resident’s interdisciplinary car team an opportunity to reassess the resident’s goals and wishes and the resident’s medical condition changes. Advance care planning is an integral aspect of the nursing home’s comprehensive care planning process and assures re-evaluation of the resident’s desires on a routine basis and when there is a significant change in condition. This process can help the </w:t>
      </w:r>
      <w:proofErr w:type="gramStart"/>
      <w:r w:rsidRPr="007E3F1A">
        <w:t>resident</w:t>
      </w:r>
      <w:proofErr w:type="gramEnd"/>
      <w:r w:rsidRPr="007E3F1A">
        <w:t>, family, and interdisciplinary team prepare for the time when a resident becomes unable to make decisions or is actively dying.</w:t>
      </w:r>
    </w:p>
    <w:p w14:paraId="4F57D0CB" w14:textId="77777777" w:rsidR="007E3F1A" w:rsidRPr="007E3F1A" w:rsidRDefault="007E3F1A" w:rsidP="007E3F1A">
      <w:pPr>
        <w:numPr>
          <w:ilvl w:val="0"/>
          <w:numId w:val="36"/>
        </w:numPr>
      </w:pPr>
      <w:r w:rsidRPr="007E3F1A">
        <w:t xml:space="preserve">The nursing home is required to establish, maintain and implement written policies and procedures regarding the resident’s rights to formulate an </w:t>
      </w:r>
      <w:proofErr w:type="gramStart"/>
      <w:r w:rsidRPr="007E3F1A">
        <w:t>advance</w:t>
      </w:r>
      <w:proofErr w:type="gramEnd"/>
      <w:r w:rsidRPr="007E3F1A">
        <w:t xml:space="preserve"> directive, including the right to accept or refuse medical or surgical treatment. In addition, the management is responsible for ensuring that staff follow those policies and procedures.</w:t>
      </w:r>
    </w:p>
    <w:p w14:paraId="76F1DE80" w14:textId="77777777" w:rsidR="007E3F1A" w:rsidRPr="007E3F1A" w:rsidRDefault="007E3F1A" w:rsidP="007E3F1A">
      <w:r w:rsidRPr="007E3F1A">
        <w:rPr>
          <w:u w:val="single"/>
        </w:rPr>
        <w:t xml:space="preserve">What should </w:t>
      </w:r>
      <w:proofErr w:type="gramStart"/>
      <w:r w:rsidRPr="007E3F1A">
        <w:rPr>
          <w:u w:val="single"/>
        </w:rPr>
        <w:t>nursing</w:t>
      </w:r>
      <w:proofErr w:type="gramEnd"/>
      <w:r w:rsidRPr="007E3F1A">
        <w:rPr>
          <w:u w:val="single"/>
        </w:rPr>
        <w:t xml:space="preserve"> homes do to ensure compliance?</w:t>
      </w:r>
    </w:p>
    <w:p w14:paraId="37F1BDC6" w14:textId="77777777" w:rsidR="007E3F1A" w:rsidRPr="007E3F1A" w:rsidRDefault="007E3F1A" w:rsidP="007E3F1A">
      <w:pPr>
        <w:numPr>
          <w:ilvl w:val="0"/>
          <w:numId w:val="37"/>
        </w:numPr>
      </w:pPr>
      <w:r w:rsidRPr="007E3F1A">
        <w:t>Develop a policy and procedure that includes all elements on page 52 of Appendix PP.</w:t>
      </w:r>
    </w:p>
    <w:p w14:paraId="500A36B6" w14:textId="77777777" w:rsidR="007E3F1A" w:rsidRPr="007E3F1A" w:rsidRDefault="007E3F1A" w:rsidP="007E3F1A">
      <w:pPr>
        <w:numPr>
          <w:ilvl w:val="0"/>
          <w:numId w:val="37"/>
        </w:numPr>
      </w:pPr>
      <w:r w:rsidRPr="007E3F1A">
        <w:t xml:space="preserve">Ensure that all residents are </w:t>
      </w:r>
      <w:proofErr w:type="gramStart"/>
      <w:r w:rsidRPr="007E3F1A">
        <w:t>provided</w:t>
      </w:r>
      <w:proofErr w:type="gramEnd"/>
      <w:r w:rsidRPr="007E3F1A">
        <w:t xml:space="preserve"> information on advance directives upon admission and document whether the resident and/or their representative would like to develop an advance directive if they haven’t done so already. If the resident has an </w:t>
      </w:r>
      <w:proofErr w:type="gramStart"/>
      <w:r w:rsidRPr="007E3F1A">
        <w:t>advance</w:t>
      </w:r>
      <w:proofErr w:type="gramEnd"/>
      <w:r w:rsidRPr="007E3F1A">
        <w:t xml:space="preserve"> directive in place, the nursing home should maintain a copy in the resident’s record.</w:t>
      </w:r>
    </w:p>
    <w:p w14:paraId="32E1BF88" w14:textId="77777777" w:rsidR="007E3F1A" w:rsidRPr="007E3F1A" w:rsidRDefault="007E3F1A" w:rsidP="007E3F1A">
      <w:pPr>
        <w:numPr>
          <w:ilvl w:val="0"/>
          <w:numId w:val="37"/>
        </w:numPr>
      </w:pPr>
      <w:r w:rsidRPr="007E3F1A">
        <w:t>Establish a process for ensuring that the resident’s advance directives are reviewed routinely (such as during care conferences, even if the resident/representative chooses not to participate in the care conference) and if they request changes, the nursing home is following up on those changes.</w:t>
      </w:r>
    </w:p>
    <w:p w14:paraId="197D8EF6" w14:textId="77777777" w:rsidR="007E3F1A" w:rsidRPr="007E3F1A" w:rsidRDefault="007E3F1A" w:rsidP="007E3F1A">
      <w:pPr>
        <w:numPr>
          <w:ilvl w:val="0"/>
          <w:numId w:val="37"/>
        </w:numPr>
      </w:pPr>
      <w:r w:rsidRPr="007E3F1A">
        <w:t> The nursing home should periodically monitor resident’s code status to ensure that procedures (such as ensuring the direct care staff have quick access to accurate code status for residents) are implemented and correct. This is the most frequently cited deficiency under F578 including when a resident changes code status and the code status information or cues are not accurate in all locations according to policy and procedures.</w:t>
      </w:r>
    </w:p>
    <w:p w14:paraId="6A872173" w14:textId="67FF5DBE" w:rsidR="00BE7951" w:rsidRPr="00905710" w:rsidRDefault="00BE7951" w:rsidP="00905710"/>
    <w:sectPr w:rsidR="00BE7951" w:rsidRPr="00905710" w:rsidSect="001A32B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532D" w14:textId="77777777" w:rsidR="00342287" w:rsidRDefault="00342287" w:rsidP="001A32B5">
      <w:pPr>
        <w:spacing w:after="0" w:line="240" w:lineRule="auto"/>
      </w:pPr>
      <w:r>
        <w:separator/>
      </w:r>
    </w:p>
  </w:endnote>
  <w:endnote w:type="continuationSeparator" w:id="0">
    <w:p w14:paraId="387ED401" w14:textId="77777777" w:rsidR="00342287" w:rsidRDefault="00342287"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8EBB" w14:textId="77777777" w:rsidR="00342287" w:rsidRDefault="00342287" w:rsidP="001A32B5">
      <w:pPr>
        <w:spacing w:after="0" w:line="240" w:lineRule="auto"/>
      </w:pPr>
      <w:r>
        <w:separator/>
      </w:r>
    </w:p>
  </w:footnote>
  <w:footnote w:type="continuationSeparator" w:id="0">
    <w:p w14:paraId="3DA82C2E" w14:textId="77777777" w:rsidR="00342287" w:rsidRDefault="00342287"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9"/>
  </w:num>
  <w:num w:numId="2" w16cid:durableId="1384869952">
    <w:abstractNumId w:val="24"/>
  </w:num>
  <w:num w:numId="3" w16cid:durableId="836532462">
    <w:abstractNumId w:val="2"/>
  </w:num>
  <w:num w:numId="4" w16cid:durableId="1069814727">
    <w:abstractNumId w:val="7"/>
  </w:num>
  <w:num w:numId="5" w16cid:durableId="1317344348">
    <w:abstractNumId w:val="5"/>
  </w:num>
  <w:num w:numId="6" w16cid:durableId="668143842">
    <w:abstractNumId w:val="30"/>
  </w:num>
  <w:num w:numId="7" w16cid:durableId="1029914589">
    <w:abstractNumId w:val="0"/>
  </w:num>
  <w:num w:numId="8" w16cid:durableId="1103837369">
    <w:abstractNumId w:val="14"/>
  </w:num>
  <w:num w:numId="9" w16cid:durableId="969097300">
    <w:abstractNumId w:val="21"/>
  </w:num>
  <w:num w:numId="10" w16cid:durableId="1411931338">
    <w:abstractNumId w:val="22"/>
  </w:num>
  <w:num w:numId="11" w16cid:durableId="950553410">
    <w:abstractNumId w:val="32"/>
  </w:num>
  <w:num w:numId="12" w16cid:durableId="949314965">
    <w:abstractNumId w:val="27"/>
  </w:num>
  <w:num w:numId="13" w16cid:durableId="1183395532">
    <w:abstractNumId w:val="11"/>
  </w:num>
  <w:num w:numId="14" w16cid:durableId="1277248201">
    <w:abstractNumId w:val="4"/>
  </w:num>
  <w:num w:numId="15" w16cid:durableId="1068071846">
    <w:abstractNumId w:val="17"/>
  </w:num>
  <w:num w:numId="16" w16cid:durableId="683096616">
    <w:abstractNumId w:val="23"/>
  </w:num>
  <w:num w:numId="17" w16cid:durableId="270557250">
    <w:abstractNumId w:val="18"/>
  </w:num>
  <w:num w:numId="18" w16cid:durableId="92215736">
    <w:abstractNumId w:val="28"/>
  </w:num>
  <w:num w:numId="19" w16cid:durableId="1573352993">
    <w:abstractNumId w:val="19"/>
  </w:num>
  <w:num w:numId="20" w16cid:durableId="356582957">
    <w:abstractNumId w:val="10"/>
  </w:num>
  <w:num w:numId="21" w16cid:durableId="1732002558">
    <w:abstractNumId w:val="16"/>
  </w:num>
  <w:num w:numId="22" w16cid:durableId="948896502">
    <w:abstractNumId w:val="36"/>
  </w:num>
  <w:num w:numId="23" w16cid:durableId="947157520">
    <w:abstractNumId w:val="20"/>
  </w:num>
  <w:num w:numId="24" w16cid:durableId="836962529">
    <w:abstractNumId w:val="8"/>
  </w:num>
  <w:num w:numId="25" w16cid:durableId="1625579125">
    <w:abstractNumId w:val="35"/>
  </w:num>
  <w:num w:numId="26" w16cid:durableId="1862741861">
    <w:abstractNumId w:val="1"/>
  </w:num>
  <w:num w:numId="27" w16cid:durableId="135491788">
    <w:abstractNumId w:val="34"/>
  </w:num>
  <w:num w:numId="28" w16cid:durableId="163710242">
    <w:abstractNumId w:val="12"/>
  </w:num>
  <w:num w:numId="29" w16cid:durableId="149248957">
    <w:abstractNumId w:val="6"/>
  </w:num>
  <w:num w:numId="30" w16cid:durableId="1904829576">
    <w:abstractNumId w:val="15"/>
  </w:num>
  <w:num w:numId="31" w16cid:durableId="1459495925">
    <w:abstractNumId w:val="33"/>
  </w:num>
  <w:num w:numId="32" w16cid:durableId="1543126382">
    <w:abstractNumId w:val="13"/>
  </w:num>
  <w:num w:numId="33" w16cid:durableId="1481071862">
    <w:abstractNumId w:val="3"/>
  </w:num>
  <w:num w:numId="34" w16cid:durableId="1853911671">
    <w:abstractNumId w:val="31"/>
  </w:num>
  <w:num w:numId="35" w16cid:durableId="941496507">
    <w:abstractNumId w:val="29"/>
  </w:num>
  <w:num w:numId="36" w16cid:durableId="733552297">
    <w:abstractNumId w:val="26"/>
  </w:num>
  <w:num w:numId="37" w16cid:durableId="7762145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614C6"/>
    <w:rsid w:val="001A32B5"/>
    <w:rsid w:val="002A6E3D"/>
    <w:rsid w:val="002B42B5"/>
    <w:rsid w:val="002C215D"/>
    <w:rsid w:val="00342130"/>
    <w:rsid w:val="00342287"/>
    <w:rsid w:val="00352B4B"/>
    <w:rsid w:val="003567DC"/>
    <w:rsid w:val="003C1BDA"/>
    <w:rsid w:val="003C4B30"/>
    <w:rsid w:val="003D33CC"/>
    <w:rsid w:val="003E2E8D"/>
    <w:rsid w:val="003F60D3"/>
    <w:rsid w:val="00447E97"/>
    <w:rsid w:val="0048609E"/>
    <w:rsid w:val="004D3E52"/>
    <w:rsid w:val="00545473"/>
    <w:rsid w:val="00606982"/>
    <w:rsid w:val="006615C6"/>
    <w:rsid w:val="00694FE6"/>
    <w:rsid w:val="006D22B7"/>
    <w:rsid w:val="007902AA"/>
    <w:rsid w:val="007A0CC5"/>
    <w:rsid w:val="007B00DD"/>
    <w:rsid w:val="007D4274"/>
    <w:rsid w:val="007E3F1A"/>
    <w:rsid w:val="0080291A"/>
    <w:rsid w:val="00905710"/>
    <w:rsid w:val="00912A8E"/>
    <w:rsid w:val="00941AB3"/>
    <w:rsid w:val="00A23B23"/>
    <w:rsid w:val="00A704C1"/>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36893"/>
    <w:rsid w:val="00E45A68"/>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ms.gov/medicare/provider-enrollment-and-certification/guidanceforlawsandregulations/downloads/appendix-pp-state-operations-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4</cp:revision>
  <cp:lastPrinted>2026-06-26T14:19:00Z</cp:lastPrinted>
  <dcterms:created xsi:type="dcterms:W3CDTF">2026-06-29T17:34:00Z</dcterms:created>
  <dcterms:modified xsi:type="dcterms:W3CDTF">2026-06-29T17:35:00Z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